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146A" w14:textId="7D7235F7" w:rsidR="00041A20" w:rsidRPr="00036D20" w:rsidRDefault="00000000" w:rsidP="00036D20">
      <w:pPr>
        <w:pStyle w:val="Heading1"/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Financial Performance Analysis (Ratios)</w:t>
      </w:r>
    </w:p>
    <w:p w14:paraId="0BECDF02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1. Which ratio measures the proportion of premiums used to pay claims?</w:t>
      </w:r>
    </w:p>
    <w:p w14:paraId="1934018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Expense Ratio</w:t>
      </w:r>
    </w:p>
    <w:p w14:paraId="7B2C766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Loss Ratio</w:t>
      </w:r>
    </w:p>
    <w:p w14:paraId="73C75B1B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Retention Ratio</w:t>
      </w:r>
    </w:p>
    <w:p w14:paraId="41FF073B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Investment Yield</w:t>
      </w:r>
    </w:p>
    <w:p w14:paraId="7BB4A5F6" w14:textId="344A0CC6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b/>
          <w:bCs/>
          <w:sz w:val="18"/>
          <w:szCs w:val="18"/>
        </w:rPr>
        <w:t>Answer: B</w:t>
      </w:r>
      <w:r w:rsidR="00036D20">
        <w:rPr>
          <w:rFonts w:ascii="Nunito Sans" w:hAnsi="Nunito Sans"/>
          <w:b/>
          <w:bCs/>
          <w:sz w:val="18"/>
          <w:szCs w:val="18"/>
        </w:rPr>
        <w:t xml:space="preserve">- </w:t>
      </w:r>
      <w:r w:rsidRPr="00036D20">
        <w:rPr>
          <w:rFonts w:ascii="Nunito Sans" w:hAnsi="Nunito Sans"/>
          <w:sz w:val="18"/>
          <w:szCs w:val="18"/>
        </w:rPr>
        <w:t>The loss ratio shows claims incurred as a percentage of earned premiums.</w:t>
      </w:r>
    </w:p>
    <w:p w14:paraId="7CCB87B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2. According to IRA benchmarks, a healthy loss ratio typically falls between:</w:t>
      </w:r>
    </w:p>
    <w:p w14:paraId="2723B681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20–40%</w:t>
      </w:r>
    </w:p>
    <w:p w14:paraId="201D401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30–50%</w:t>
      </w:r>
    </w:p>
    <w:p w14:paraId="1D317CCB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50–70%</w:t>
      </w:r>
    </w:p>
    <w:p w14:paraId="0E8D2C93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70–90%</w:t>
      </w:r>
    </w:p>
    <w:p w14:paraId="190F03AA" w14:textId="5D6ACB3A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b/>
          <w:bCs/>
          <w:sz w:val="18"/>
          <w:szCs w:val="18"/>
        </w:rPr>
        <w:t>Answer: C</w:t>
      </w:r>
      <w:r w:rsidR="00036D20" w:rsidRPr="00036D20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The benchmark is 50–70%; lower means overpriced products, higher signals underwriting strain.</w:t>
      </w:r>
    </w:p>
    <w:p w14:paraId="20E7ABE1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3. What does the Commission Ratio measure?</w:t>
      </w:r>
    </w:p>
    <w:p w14:paraId="72B9892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Proportion of premiums paid as reinsurance</w:t>
      </w:r>
    </w:p>
    <w:p w14:paraId="52CFF376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Proportion of premiums paid as commissions</w:t>
      </w:r>
    </w:p>
    <w:p w14:paraId="0EBBE297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Share of capital tied up in affiliates</w:t>
      </w:r>
    </w:p>
    <w:p w14:paraId="58F083D6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Return on shareholders’ equity</w:t>
      </w:r>
    </w:p>
    <w:p w14:paraId="476BA53B" w14:textId="3E36CD9E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4C774E">
        <w:rPr>
          <w:rFonts w:ascii="Nunito Sans" w:hAnsi="Nunito Sans"/>
          <w:b/>
          <w:bCs/>
          <w:sz w:val="18"/>
          <w:szCs w:val="18"/>
        </w:rPr>
        <w:t>Answer: B</w:t>
      </w:r>
      <w:r w:rsidR="004C774E" w:rsidRPr="004C774E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It evaluates reliance on intermediaries by showing commissions as a share of premiums.</w:t>
      </w:r>
    </w:p>
    <w:p w14:paraId="547407F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4. An Expense Ratio consistently above 40% usually indicates:</w:t>
      </w:r>
    </w:p>
    <w:p w14:paraId="026387D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Excellent operational efficiency</w:t>
      </w:r>
    </w:p>
    <w:p w14:paraId="3F5F4AE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Underpricing of premiums</w:t>
      </w:r>
    </w:p>
    <w:p w14:paraId="45C8525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Excessive operating costs</w:t>
      </w:r>
    </w:p>
    <w:p w14:paraId="310A96D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Strong solvency position</w:t>
      </w:r>
    </w:p>
    <w:p w14:paraId="0674FFE6" w14:textId="1A8812E9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4C774E">
        <w:rPr>
          <w:rFonts w:ascii="Nunito Sans" w:hAnsi="Nunito Sans"/>
          <w:b/>
          <w:bCs/>
          <w:sz w:val="18"/>
          <w:szCs w:val="18"/>
        </w:rPr>
        <w:t>Answer: C</w:t>
      </w:r>
      <w:r w:rsidR="004C774E" w:rsidRPr="004C774E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Above 40% reflects inefficiency unless justified by premium service delivery.</w:t>
      </w:r>
    </w:p>
    <w:p w14:paraId="47816172" w14:textId="77777777" w:rsidR="004C774E" w:rsidRDefault="004C774E" w:rsidP="00036D20">
      <w:pPr>
        <w:ind w:left="-142" w:hanging="567"/>
        <w:rPr>
          <w:rFonts w:ascii="Nunito Sans" w:hAnsi="Nunito Sans"/>
          <w:sz w:val="18"/>
          <w:szCs w:val="18"/>
        </w:rPr>
      </w:pPr>
    </w:p>
    <w:p w14:paraId="30F0C0B7" w14:textId="714A3934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lastRenderedPageBreak/>
        <w:t>5. The Combined Ratio below 100% means:</w:t>
      </w:r>
    </w:p>
    <w:p w14:paraId="1F1DF34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The insurer relies heavily on reinsurance</w:t>
      </w:r>
    </w:p>
    <w:p w14:paraId="5B0B2A4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The insurer is making underwriting profit</w:t>
      </w:r>
    </w:p>
    <w:p w14:paraId="5662FD07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The insurer’s liquidity is weak</w:t>
      </w:r>
    </w:p>
    <w:p w14:paraId="2E91D7B3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The insurer is undercapitalized</w:t>
      </w:r>
    </w:p>
    <w:p w14:paraId="0111A4B0" w14:textId="7F3D4264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4C774E">
        <w:rPr>
          <w:rFonts w:ascii="Nunito Sans" w:hAnsi="Nunito Sans"/>
          <w:b/>
          <w:bCs/>
          <w:sz w:val="18"/>
          <w:szCs w:val="18"/>
        </w:rPr>
        <w:t>Answer: B</w:t>
      </w:r>
      <w:r w:rsidR="004C774E" w:rsidRPr="004C774E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A combined ratio &lt;100% indicates underwriting profitability before investment income.</w:t>
      </w:r>
    </w:p>
    <w:p w14:paraId="7CCC6DA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6. Why is the Two-Year Combined Ratio used?</w:t>
      </w:r>
    </w:p>
    <w:p w14:paraId="4997F8D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</w:t>
      </w:r>
      <w:proofErr w:type="gramStart"/>
      <w:r w:rsidRPr="00036D20">
        <w:rPr>
          <w:rFonts w:ascii="Nunito Sans" w:hAnsi="Nunito Sans"/>
          <w:sz w:val="18"/>
          <w:szCs w:val="18"/>
        </w:rPr>
        <w:t>To measure</w:t>
      </w:r>
      <w:proofErr w:type="gramEnd"/>
      <w:r w:rsidRPr="00036D20">
        <w:rPr>
          <w:rFonts w:ascii="Nunito Sans" w:hAnsi="Nunito Sans"/>
          <w:sz w:val="18"/>
          <w:szCs w:val="18"/>
        </w:rPr>
        <w:t xml:space="preserve"> profitability only in one year</w:t>
      </w:r>
    </w:p>
    <w:p w14:paraId="6632763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To assess solvency requirements</w:t>
      </w:r>
    </w:p>
    <w:p w14:paraId="38EE36E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To smooth volatility over multiple periods</w:t>
      </w:r>
    </w:p>
    <w:p w14:paraId="25BE3A94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To assess investment returns</w:t>
      </w:r>
    </w:p>
    <w:p w14:paraId="010158E9" w14:textId="3DABAED9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4C774E">
        <w:rPr>
          <w:rFonts w:ascii="Nunito Sans" w:hAnsi="Nunito Sans"/>
          <w:b/>
          <w:bCs/>
          <w:sz w:val="18"/>
          <w:szCs w:val="18"/>
        </w:rPr>
        <w:t>Answer: C</w:t>
      </w:r>
      <w:r w:rsidR="004C774E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It averages results over two years, reducing the effect of one-off shocks.</w:t>
      </w:r>
    </w:p>
    <w:p w14:paraId="7C0BDE1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7. What benchmark is typically used for Investment Yield?</w:t>
      </w:r>
    </w:p>
    <w:p w14:paraId="6E54FB7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Inflation + 1%</w:t>
      </w:r>
    </w:p>
    <w:p w14:paraId="4D405FF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Inflation + 3%</w:t>
      </w:r>
    </w:p>
    <w:p w14:paraId="39AF8A0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10% fixed threshold</w:t>
      </w:r>
    </w:p>
    <w:p w14:paraId="1E4F514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Equal to the loss ratio</w:t>
      </w:r>
    </w:p>
    <w:p w14:paraId="47D0F36F" w14:textId="1DA0B2EC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9C5284">
        <w:rPr>
          <w:rFonts w:ascii="Nunito Sans" w:hAnsi="Nunito Sans"/>
          <w:b/>
          <w:bCs/>
          <w:sz w:val="18"/>
          <w:szCs w:val="18"/>
        </w:rPr>
        <w:t>Answer: B</w:t>
      </w:r>
      <w:r w:rsidR="009C5284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A yield around CPI + 3% is considered sustainable.</w:t>
      </w:r>
    </w:p>
    <w:p w14:paraId="49CC26B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8. Return on Equity (ROE) above what percentage is generally desirable for insurers?</w:t>
      </w:r>
    </w:p>
    <w:p w14:paraId="37F6FBB3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1%</w:t>
      </w:r>
    </w:p>
    <w:p w14:paraId="1922D01B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3%</w:t>
      </w:r>
    </w:p>
    <w:p w14:paraId="6796599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5%</w:t>
      </w:r>
    </w:p>
    <w:p w14:paraId="0DF9235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10%</w:t>
      </w:r>
    </w:p>
    <w:p w14:paraId="565C0C02" w14:textId="5A3D05BF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9C5284">
        <w:rPr>
          <w:rFonts w:ascii="Nunito Sans" w:hAnsi="Nunito Sans"/>
          <w:b/>
          <w:bCs/>
          <w:sz w:val="18"/>
          <w:szCs w:val="18"/>
        </w:rPr>
        <w:t>Answer: C</w:t>
      </w:r>
      <w:r w:rsidR="009C5284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ROE &gt;5% indicates effective deployment of shareholder capital.</w:t>
      </w:r>
    </w:p>
    <w:p w14:paraId="24458138" w14:textId="77777777" w:rsidR="00041A20" w:rsidRDefault="00041A20" w:rsidP="00036D20">
      <w:pPr>
        <w:ind w:left="-142" w:hanging="567"/>
        <w:rPr>
          <w:rFonts w:ascii="Nunito Sans" w:hAnsi="Nunito Sans"/>
          <w:sz w:val="18"/>
          <w:szCs w:val="18"/>
        </w:rPr>
      </w:pPr>
    </w:p>
    <w:p w14:paraId="46C6F5ED" w14:textId="77777777" w:rsidR="009C5284" w:rsidRDefault="009C5284" w:rsidP="00036D20">
      <w:pPr>
        <w:ind w:left="-142" w:hanging="567"/>
        <w:rPr>
          <w:rFonts w:ascii="Nunito Sans" w:hAnsi="Nunito Sans"/>
          <w:sz w:val="18"/>
          <w:szCs w:val="18"/>
        </w:rPr>
      </w:pPr>
    </w:p>
    <w:p w14:paraId="6A3D6822" w14:textId="77777777" w:rsidR="009C5284" w:rsidRPr="00036D20" w:rsidRDefault="009C5284" w:rsidP="00036D20">
      <w:pPr>
        <w:ind w:left="-142" w:hanging="567"/>
        <w:rPr>
          <w:rFonts w:ascii="Nunito Sans" w:hAnsi="Nunito Sans"/>
          <w:sz w:val="18"/>
          <w:szCs w:val="18"/>
        </w:rPr>
      </w:pPr>
    </w:p>
    <w:p w14:paraId="197B08A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lastRenderedPageBreak/>
        <w:t>9. The Retention Ratio measures:</w:t>
      </w:r>
    </w:p>
    <w:p w14:paraId="2008ABB1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Proportion of claims ceded to reinsurers</w:t>
      </w:r>
    </w:p>
    <w:p w14:paraId="07AF6CC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Premiums retained relative to gross written premium</w:t>
      </w:r>
    </w:p>
    <w:p w14:paraId="6FED196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Assets retained relative to liabilities</w:t>
      </w:r>
    </w:p>
    <w:p w14:paraId="75F59CE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Capital adequacy compared to solvency margins</w:t>
      </w:r>
    </w:p>
    <w:p w14:paraId="015479C3" w14:textId="23584FB2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65436">
        <w:rPr>
          <w:rFonts w:ascii="Nunito Sans" w:hAnsi="Nunito Sans"/>
          <w:b/>
          <w:bCs/>
          <w:sz w:val="18"/>
          <w:szCs w:val="18"/>
        </w:rPr>
        <w:t>Answer: B</w:t>
      </w:r>
      <w:r w:rsidR="00065436">
        <w:rPr>
          <w:rFonts w:ascii="Nunito Sans" w:hAnsi="Nunito Sans"/>
          <w:b/>
          <w:bCs/>
          <w:sz w:val="18"/>
          <w:szCs w:val="18"/>
        </w:rPr>
        <w:t xml:space="preserve"> -</w:t>
      </w:r>
      <w:r w:rsidRPr="00036D20">
        <w:rPr>
          <w:rFonts w:ascii="Nunito Sans" w:hAnsi="Nunito Sans"/>
          <w:sz w:val="18"/>
          <w:szCs w:val="18"/>
        </w:rPr>
        <w:t xml:space="preserve"> It indicates how much risk the insurer keeps rather than reinsures.</w:t>
      </w:r>
    </w:p>
    <w:p w14:paraId="646236C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10. High cession ratios indicate:</w:t>
      </w:r>
    </w:p>
    <w:p w14:paraId="26DD94E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Greater retained earnings</w:t>
      </w:r>
    </w:p>
    <w:p w14:paraId="1DA64114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Overdependence on reinsurers</w:t>
      </w:r>
    </w:p>
    <w:p w14:paraId="0E1B69F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Stronger capital base</w:t>
      </w:r>
    </w:p>
    <w:p w14:paraId="4CBD106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Efficient expense management</w:t>
      </w:r>
    </w:p>
    <w:p w14:paraId="16F1E148" w14:textId="602C916B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65436">
        <w:rPr>
          <w:rFonts w:ascii="Nunito Sans" w:hAnsi="Nunito Sans"/>
          <w:b/>
          <w:bCs/>
          <w:sz w:val="18"/>
          <w:szCs w:val="18"/>
        </w:rPr>
        <w:t>Answer: B</w:t>
      </w:r>
      <w:r w:rsidR="00065436">
        <w:rPr>
          <w:rFonts w:ascii="Nunito Sans" w:hAnsi="Nunito Sans"/>
          <w:b/>
          <w:bCs/>
          <w:sz w:val="18"/>
          <w:szCs w:val="18"/>
        </w:rPr>
        <w:t xml:space="preserve"> -</w:t>
      </w:r>
      <w:r w:rsidRPr="00036D20">
        <w:rPr>
          <w:rFonts w:ascii="Nunito Sans" w:hAnsi="Nunito Sans"/>
          <w:sz w:val="18"/>
          <w:szCs w:val="18"/>
        </w:rPr>
        <w:t xml:space="preserve"> Too much cession reduces income and increases reliance on reinsurers.</w:t>
      </w:r>
    </w:p>
    <w:p w14:paraId="6827C92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11. Liquidity Ratio benchmark is typically:</w:t>
      </w:r>
    </w:p>
    <w:p w14:paraId="595CE7DC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80%</w:t>
      </w:r>
    </w:p>
    <w:p w14:paraId="5C37C514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95%</w:t>
      </w:r>
    </w:p>
    <w:p w14:paraId="6290682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105%</w:t>
      </w:r>
    </w:p>
    <w:p w14:paraId="58F8A2D7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150%</w:t>
      </w:r>
    </w:p>
    <w:p w14:paraId="786540DA" w14:textId="59EFCCAB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D7BAD">
        <w:rPr>
          <w:rFonts w:ascii="Nunito Sans" w:hAnsi="Nunito Sans"/>
          <w:b/>
          <w:bCs/>
          <w:sz w:val="18"/>
          <w:szCs w:val="18"/>
        </w:rPr>
        <w:t>Answer: C</w:t>
      </w:r>
      <w:r w:rsidR="000D7BAD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A level around 105% is considered acceptable; too high or too low signals inefficiency or stress.</w:t>
      </w:r>
    </w:p>
    <w:p w14:paraId="49F13882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12. A Current Ratio below 1.0 suggests:</w:t>
      </w:r>
    </w:p>
    <w:p w14:paraId="4611B0B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Comfortable liquidity position</w:t>
      </w:r>
    </w:p>
    <w:p w14:paraId="2FB61083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Potential short-term financial difficulties</w:t>
      </w:r>
    </w:p>
    <w:p w14:paraId="76A440DC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High profitability</w:t>
      </w:r>
    </w:p>
    <w:p w14:paraId="16593ED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Low retention</w:t>
      </w:r>
    </w:p>
    <w:p w14:paraId="04F55808" w14:textId="4268688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D7BAD">
        <w:rPr>
          <w:rFonts w:ascii="Nunito Sans" w:hAnsi="Nunito Sans"/>
          <w:b/>
          <w:bCs/>
          <w:sz w:val="18"/>
          <w:szCs w:val="18"/>
        </w:rPr>
        <w:t>Answer: B</w:t>
      </w:r>
      <w:r w:rsidR="000D7BAD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Below 1.0 means current liabilities exceed current assets.</w:t>
      </w:r>
    </w:p>
    <w:p w14:paraId="3098083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13. The Insurance Debt Ratio should ideally be:</w:t>
      </w:r>
    </w:p>
    <w:p w14:paraId="5380C794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Above 70%</w:t>
      </w:r>
    </w:p>
    <w:p w14:paraId="0E75542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Equal to 50%</w:t>
      </w:r>
    </w:p>
    <w:p w14:paraId="462B3344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lastRenderedPageBreak/>
        <w:t xml:space="preserve">   C) Less than 50%</w:t>
      </w:r>
    </w:p>
    <w:p w14:paraId="025A874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Exactly 100%</w:t>
      </w:r>
    </w:p>
    <w:p w14:paraId="566AC6FE" w14:textId="53EB662C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FB1300">
        <w:rPr>
          <w:rFonts w:ascii="Nunito Sans" w:hAnsi="Nunito Sans"/>
          <w:b/>
          <w:bCs/>
          <w:sz w:val="18"/>
          <w:szCs w:val="18"/>
        </w:rPr>
        <w:t>Answer: C</w:t>
      </w:r>
      <w:r w:rsidR="00FB1300">
        <w:rPr>
          <w:rFonts w:ascii="Nunito Sans" w:hAnsi="Nunito Sans"/>
          <w:b/>
          <w:bCs/>
          <w:sz w:val="18"/>
          <w:szCs w:val="18"/>
        </w:rPr>
        <w:t xml:space="preserve"> -</w:t>
      </w:r>
      <w:r w:rsidRPr="00036D20">
        <w:rPr>
          <w:rFonts w:ascii="Nunito Sans" w:hAnsi="Nunito Sans"/>
          <w:sz w:val="18"/>
          <w:szCs w:val="18"/>
        </w:rPr>
        <w:t xml:space="preserve"> Ratios above 50% expose insurers to counterparty risks.</w:t>
      </w:r>
    </w:p>
    <w:p w14:paraId="731344EC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14. A Technical Reserves Cover Ratio above 100% indicates:</w:t>
      </w:r>
    </w:p>
    <w:p w14:paraId="4547F4F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Strong solvency</w:t>
      </w:r>
    </w:p>
    <w:p w14:paraId="748C87E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Inadequate liquid assets for obligations</w:t>
      </w:r>
    </w:p>
    <w:p w14:paraId="4E46BEA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High profitability</w:t>
      </w:r>
    </w:p>
    <w:p w14:paraId="0B0BD6F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Efficient capital use</w:t>
      </w:r>
    </w:p>
    <w:p w14:paraId="79567F2D" w14:textId="6923C7BE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DF6103">
        <w:rPr>
          <w:rFonts w:ascii="Nunito Sans" w:hAnsi="Nunito Sans"/>
          <w:b/>
          <w:bCs/>
          <w:sz w:val="18"/>
          <w:szCs w:val="18"/>
        </w:rPr>
        <w:t>Answer: B</w:t>
      </w:r>
      <w:r w:rsidR="00DF6103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It shows insufficient liquid resources to meet policyholder claims.</w:t>
      </w:r>
    </w:p>
    <w:p w14:paraId="42F1FB97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15. The Affiliate Ratio measures:</w:t>
      </w:r>
    </w:p>
    <w:p w14:paraId="584DAE6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Proportion of capital tied in affiliates</w:t>
      </w:r>
    </w:p>
    <w:p w14:paraId="3728FB3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Proportion of premiums ceded to reinsurers</w:t>
      </w:r>
    </w:p>
    <w:p w14:paraId="3A3942B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Debt relative to equity</w:t>
      </w:r>
    </w:p>
    <w:p w14:paraId="41C258D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Profit margin after tax</w:t>
      </w:r>
    </w:p>
    <w:p w14:paraId="00073DE7" w14:textId="589DBD82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7F04A3">
        <w:rPr>
          <w:rFonts w:ascii="Nunito Sans" w:hAnsi="Nunito Sans"/>
          <w:b/>
          <w:bCs/>
          <w:sz w:val="18"/>
          <w:szCs w:val="18"/>
        </w:rPr>
        <w:t>Answer: A</w:t>
      </w:r>
      <w:r w:rsidR="007F04A3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High affiliate ratios raise governance and liquidity concerns.</w:t>
      </w:r>
    </w:p>
    <w:p w14:paraId="6388952A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16. A Premium-to-Surplus Ratio above 3.0 implies:</w:t>
      </w:r>
    </w:p>
    <w:p w14:paraId="09CF4846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Conservative underwriting</w:t>
      </w:r>
    </w:p>
    <w:p w14:paraId="70145B0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Aggressive underwriting and possible undercapitalization</w:t>
      </w:r>
    </w:p>
    <w:p w14:paraId="57F40A55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High investment returns</w:t>
      </w:r>
    </w:p>
    <w:p w14:paraId="483D381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Good capital adequacy</w:t>
      </w:r>
    </w:p>
    <w:p w14:paraId="37DA9E38" w14:textId="79A3374D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147AC">
        <w:rPr>
          <w:rFonts w:ascii="Nunito Sans" w:hAnsi="Nunito Sans"/>
          <w:b/>
          <w:bCs/>
          <w:sz w:val="18"/>
          <w:szCs w:val="18"/>
        </w:rPr>
        <w:t>Answer: B</w:t>
      </w:r>
      <w:r w:rsidR="000147AC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Ratios above 3 indicate strain on surplus relative to premium growth.</w:t>
      </w:r>
    </w:p>
    <w:p w14:paraId="3A1DC9D6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17. The benchmark for Interest Coverage Ratio is:</w:t>
      </w:r>
    </w:p>
    <w:p w14:paraId="23D4E9FD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0.5</w:t>
      </w:r>
    </w:p>
    <w:p w14:paraId="3A21612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1.0</w:t>
      </w:r>
    </w:p>
    <w:p w14:paraId="2D9A0C7C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1.5</w:t>
      </w:r>
    </w:p>
    <w:p w14:paraId="09DDC4AC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2.5</w:t>
      </w:r>
    </w:p>
    <w:p w14:paraId="614B1B2D" w14:textId="6CBD30AC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414748">
        <w:rPr>
          <w:rFonts w:ascii="Nunito Sans" w:hAnsi="Nunito Sans"/>
          <w:b/>
          <w:bCs/>
          <w:sz w:val="18"/>
          <w:szCs w:val="18"/>
        </w:rPr>
        <w:t>Answer: C</w:t>
      </w:r>
      <w:r w:rsidR="00414748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Insurers should cover interest at least 1.5 </w:t>
      </w:r>
      <w:proofErr w:type="gramStart"/>
      <w:r w:rsidRPr="00036D20">
        <w:rPr>
          <w:rFonts w:ascii="Nunito Sans" w:hAnsi="Nunito Sans"/>
          <w:sz w:val="18"/>
          <w:szCs w:val="18"/>
        </w:rPr>
        <w:t>times from</w:t>
      </w:r>
      <w:proofErr w:type="gramEnd"/>
      <w:r w:rsidRPr="00036D20">
        <w:rPr>
          <w:rFonts w:ascii="Nunito Sans" w:hAnsi="Nunito Sans"/>
          <w:sz w:val="18"/>
          <w:szCs w:val="18"/>
        </w:rPr>
        <w:t xml:space="preserve"> earnings.</w:t>
      </w:r>
    </w:p>
    <w:p w14:paraId="195E8935" w14:textId="77777777" w:rsidR="00041A20" w:rsidRPr="00036D20" w:rsidRDefault="00041A20" w:rsidP="00036D20">
      <w:pPr>
        <w:ind w:left="-142" w:hanging="567"/>
        <w:rPr>
          <w:rFonts w:ascii="Nunito Sans" w:hAnsi="Nunito Sans"/>
          <w:sz w:val="18"/>
          <w:szCs w:val="18"/>
        </w:rPr>
      </w:pPr>
    </w:p>
    <w:p w14:paraId="5AC27365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18. Debt-to-Equity Ratio below 1.0 means:</w:t>
      </w:r>
    </w:p>
    <w:p w14:paraId="70D1CBEB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Excessive reliance on debt</w:t>
      </w:r>
    </w:p>
    <w:p w14:paraId="3B88FB98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Stable financial structure</w:t>
      </w:r>
    </w:p>
    <w:p w14:paraId="1128CE9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Liquidity stress</w:t>
      </w:r>
    </w:p>
    <w:p w14:paraId="658923B5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High combined ratio</w:t>
      </w:r>
    </w:p>
    <w:p w14:paraId="7CEBBFD6" w14:textId="3858A5C2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9D5EFF">
        <w:rPr>
          <w:rFonts w:ascii="Nunito Sans" w:hAnsi="Nunito Sans"/>
          <w:b/>
          <w:bCs/>
          <w:sz w:val="18"/>
          <w:szCs w:val="18"/>
        </w:rPr>
        <w:t>Answer: B</w:t>
      </w:r>
      <w:r w:rsidR="009D5EFF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 xml:space="preserve"> A lower ratio indicates equity sufficiently covers debt obligations.</w:t>
      </w:r>
    </w:p>
    <w:p w14:paraId="4A245CD6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19. Growth in Net Written Premiums above 20% may suggest:</w:t>
      </w:r>
    </w:p>
    <w:p w14:paraId="700A6690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Healthy expansion</w:t>
      </w:r>
    </w:p>
    <w:p w14:paraId="5A0DA6EF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Strain on capital and underwriting discipline</w:t>
      </w:r>
    </w:p>
    <w:p w14:paraId="58CA0C25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Higher profitability</w:t>
      </w:r>
    </w:p>
    <w:p w14:paraId="5A40C1CE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Improved retention</w:t>
      </w:r>
    </w:p>
    <w:p w14:paraId="22035BA4" w14:textId="4D10FD1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500E2D">
        <w:rPr>
          <w:rFonts w:ascii="Nunito Sans" w:hAnsi="Nunito Sans"/>
          <w:b/>
          <w:bCs/>
          <w:sz w:val="18"/>
          <w:szCs w:val="18"/>
        </w:rPr>
        <w:t>Answer: B</w:t>
      </w:r>
      <w:r w:rsidR="00500E2D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>Supervisors view excessive growth as risky due to possible capital strain.</w:t>
      </w:r>
    </w:p>
    <w:p w14:paraId="185C0191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>20. Underwriting Expense Ratio evaluates:</w:t>
      </w:r>
    </w:p>
    <w:p w14:paraId="1CB4D532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A) Profit after tax over equity</w:t>
      </w:r>
    </w:p>
    <w:p w14:paraId="60639782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B) Underwriting costs relative to earned premium</w:t>
      </w:r>
    </w:p>
    <w:p w14:paraId="67B846D7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C) Claims relative to premium</w:t>
      </w:r>
    </w:p>
    <w:p w14:paraId="2382A689" w14:textId="77777777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036D20">
        <w:rPr>
          <w:rFonts w:ascii="Nunito Sans" w:hAnsi="Nunito Sans"/>
          <w:sz w:val="18"/>
          <w:szCs w:val="18"/>
        </w:rPr>
        <w:t xml:space="preserve">   D) Investment income relative to assets</w:t>
      </w:r>
    </w:p>
    <w:p w14:paraId="16F5B193" w14:textId="60C787A6" w:rsidR="00041A20" w:rsidRPr="00036D20" w:rsidRDefault="00000000" w:rsidP="00036D20">
      <w:pPr>
        <w:ind w:left="-142" w:hanging="567"/>
        <w:rPr>
          <w:rFonts w:ascii="Nunito Sans" w:hAnsi="Nunito Sans"/>
          <w:sz w:val="18"/>
          <w:szCs w:val="18"/>
        </w:rPr>
      </w:pPr>
      <w:r w:rsidRPr="009876CD">
        <w:rPr>
          <w:rFonts w:ascii="Nunito Sans" w:hAnsi="Nunito Sans"/>
          <w:b/>
          <w:bCs/>
          <w:sz w:val="18"/>
          <w:szCs w:val="18"/>
        </w:rPr>
        <w:t>Answer: B</w:t>
      </w:r>
      <w:r w:rsidR="009876CD">
        <w:rPr>
          <w:rFonts w:ascii="Nunito Sans" w:hAnsi="Nunito Sans"/>
          <w:b/>
          <w:bCs/>
          <w:sz w:val="18"/>
          <w:szCs w:val="18"/>
        </w:rPr>
        <w:t>-</w:t>
      </w:r>
      <w:r w:rsidRPr="00036D20">
        <w:rPr>
          <w:rFonts w:ascii="Nunito Sans" w:hAnsi="Nunito Sans"/>
          <w:sz w:val="18"/>
          <w:szCs w:val="18"/>
        </w:rPr>
        <w:t>It shows how much of earned premiums are consumed by underwriting costs.</w:t>
      </w:r>
    </w:p>
    <w:p w14:paraId="6AAA23C0" w14:textId="77777777" w:rsidR="00041A20" w:rsidRPr="00036D20" w:rsidRDefault="00041A20" w:rsidP="00036D20">
      <w:pPr>
        <w:ind w:left="-142" w:hanging="567"/>
        <w:rPr>
          <w:rFonts w:ascii="Nunito Sans" w:hAnsi="Nunito Sans"/>
          <w:sz w:val="18"/>
          <w:szCs w:val="18"/>
        </w:rPr>
      </w:pPr>
    </w:p>
    <w:p w14:paraId="7AF9DA9D" w14:textId="77777777" w:rsidR="00036D20" w:rsidRPr="00036D20" w:rsidRDefault="00036D20" w:rsidP="00036D20">
      <w:pPr>
        <w:ind w:left="-142" w:hanging="567"/>
        <w:rPr>
          <w:rFonts w:ascii="Nunito Sans" w:hAnsi="Nunito Sans"/>
          <w:sz w:val="18"/>
          <w:szCs w:val="18"/>
        </w:rPr>
      </w:pPr>
    </w:p>
    <w:sectPr w:rsidR="00036D20" w:rsidRPr="00036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141692">
    <w:abstractNumId w:val="8"/>
  </w:num>
  <w:num w:numId="2" w16cid:durableId="547882639">
    <w:abstractNumId w:val="6"/>
  </w:num>
  <w:num w:numId="3" w16cid:durableId="678627560">
    <w:abstractNumId w:val="5"/>
  </w:num>
  <w:num w:numId="4" w16cid:durableId="1063060264">
    <w:abstractNumId w:val="4"/>
  </w:num>
  <w:num w:numId="5" w16cid:durableId="343365272">
    <w:abstractNumId w:val="7"/>
  </w:num>
  <w:num w:numId="6" w16cid:durableId="1381593447">
    <w:abstractNumId w:val="3"/>
  </w:num>
  <w:num w:numId="7" w16cid:durableId="569074763">
    <w:abstractNumId w:val="2"/>
  </w:num>
  <w:num w:numId="8" w16cid:durableId="1913081226">
    <w:abstractNumId w:val="1"/>
  </w:num>
  <w:num w:numId="9" w16cid:durableId="24603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AC"/>
    <w:rsid w:val="00034616"/>
    <w:rsid w:val="00036D20"/>
    <w:rsid w:val="00041A20"/>
    <w:rsid w:val="0006063C"/>
    <w:rsid w:val="00065436"/>
    <w:rsid w:val="000D7BAD"/>
    <w:rsid w:val="00141268"/>
    <w:rsid w:val="0015074B"/>
    <w:rsid w:val="0029639D"/>
    <w:rsid w:val="00326F90"/>
    <w:rsid w:val="00414748"/>
    <w:rsid w:val="00420DB3"/>
    <w:rsid w:val="004C774E"/>
    <w:rsid w:val="00500E2D"/>
    <w:rsid w:val="007262D6"/>
    <w:rsid w:val="007F04A3"/>
    <w:rsid w:val="009876CD"/>
    <w:rsid w:val="009C5284"/>
    <w:rsid w:val="009D5EFF"/>
    <w:rsid w:val="00AA1D8D"/>
    <w:rsid w:val="00B47730"/>
    <w:rsid w:val="00CB0664"/>
    <w:rsid w:val="00DF6103"/>
    <w:rsid w:val="00FB1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0D6AC"/>
  <w14:defaultImageDpi w14:val="300"/>
  <w15:docId w15:val="{539F0493-6180-4CF3-B6A6-C3512B5F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61A41-04D3-4F39-8E21-EE1F14EFC40A}"/>
</file>

<file path=customXml/itemProps3.xml><?xml version="1.0" encoding="utf-8"?>
<ds:datastoreItem xmlns:ds="http://schemas.openxmlformats.org/officeDocument/2006/customXml" ds:itemID="{B7CE2436-4662-4F0E-9746-19A18FE25D26}"/>
</file>

<file path=customXml/itemProps4.xml><?xml version="1.0" encoding="utf-8"?>
<ds:datastoreItem xmlns:ds="http://schemas.openxmlformats.org/officeDocument/2006/customXml" ds:itemID="{C58AD623-A256-43BC-BC5A-5B2FEDFBAB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Monica Kerubo</cp:lastModifiedBy>
  <cp:revision>16</cp:revision>
  <dcterms:created xsi:type="dcterms:W3CDTF">2013-12-23T23:15:00Z</dcterms:created>
  <dcterms:modified xsi:type="dcterms:W3CDTF">2025-10-02T14:05:00Z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