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5555" w14:textId="6285A78E" w:rsidR="00407D27" w:rsidRPr="00407D27" w:rsidRDefault="00300147" w:rsidP="00407D27">
      <w:pPr>
        <w:spacing w:after="0" w:line="240" w:lineRule="auto"/>
        <w:ind w:right="720"/>
        <w:outlineLvl w:val="0"/>
        <w:rPr>
          <w:rFonts w:ascii="Nunito Sans Black" w:eastAsia="Calibri" w:hAnsi="Nunito Sans Black" w:cs="Arial"/>
          <w:color w:val="0137A6"/>
          <w:kern w:val="0"/>
          <w:sz w:val="36"/>
          <w:szCs w:val="36"/>
          <w14:ligatures w14:val="none"/>
        </w:rPr>
      </w:pPr>
      <w:r>
        <w:rPr>
          <w:rFonts w:ascii="Nunito Sans Black" w:eastAsia="Calibri" w:hAnsi="Nunito Sans Black" w:cs="Arial"/>
          <w:color w:val="0137A6"/>
          <w:kern w:val="0"/>
          <w:sz w:val="36"/>
          <w:szCs w:val="36"/>
          <w14:ligatures w14:val="none"/>
        </w:rPr>
        <w:t xml:space="preserve">MODULE </w:t>
      </w:r>
      <w:r w:rsidR="00790AAB">
        <w:rPr>
          <w:rFonts w:ascii="Nunito Sans Black" w:eastAsia="Calibri" w:hAnsi="Nunito Sans Black" w:cs="Arial"/>
          <w:color w:val="0137A6"/>
          <w:kern w:val="0"/>
          <w:sz w:val="36"/>
          <w:szCs w:val="36"/>
          <w14:ligatures w14:val="none"/>
        </w:rPr>
        <w:t>7</w:t>
      </w:r>
      <w:r>
        <w:rPr>
          <w:rFonts w:ascii="Nunito Sans Black" w:eastAsia="Calibri" w:hAnsi="Nunito Sans Black" w:cs="Arial"/>
          <w:color w:val="0137A6"/>
          <w:kern w:val="0"/>
          <w:sz w:val="36"/>
          <w:szCs w:val="36"/>
          <w14:ligatures w14:val="none"/>
        </w:rPr>
        <w:t>_EXERCISES</w:t>
      </w:r>
      <w:r w:rsidR="00E41FBF">
        <w:rPr>
          <w:rFonts w:ascii="Nunito Sans Black" w:eastAsia="Calibri" w:hAnsi="Nunito Sans Black" w:cs="Arial"/>
          <w:color w:val="0137A6"/>
          <w:kern w:val="0"/>
          <w:sz w:val="36"/>
          <w:szCs w:val="36"/>
          <w14:ligatures w14:val="none"/>
        </w:rPr>
        <w:t xml:space="preserve">_GI </w:t>
      </w:r>
      <w:r w:rsidR="00790AAB">
        <w:rPr>
          <w:rFonts w:ascii="Nunito Sans Black" w:eastAsia="Calibri" w:hAnsi="Nunito Sans Black" w:cs="Arial"/>
          <w:color w:val="0137A6"/>
          <w:kern w:val="0"/>
          <w:sz w:val="36"/>
          <w:szCs w:val="36"/>
          <w14:ligatures w14:val="none"/>
        </w:rPr>
        <w:t>PREMIUM CERTIFICATE</w:t>
      </w:r>
    </w:p>
    <w:p w14:paraId="2989D1F2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Which of the following BEST describes the purpose of premium certification?</w:t>
      </w:r>
    </w:p>
    <w:p w14:paraId="274801C3" w14:textId="77777777" w:rsidR="00C46E18" w:rsidRPr="00C46E18" w:rsidRDefault="00C46E18" w:rsidP="00841D07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To increase insurer profits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To prove that pricing matches competitors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To confirm adequacy and compliance of premium rates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To support broker commissions</w:t>
      </w:r>
    </w:p>
    <w:p w14:paraId="10786F4F" w14:textId="77777777" w:rsidR="00C46E18" w:rsidRPr="00C46E18" w:rsidRDefault="00C46E18" w:rsidP="00C46E18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C</w:t>
      </w:r>
    </w:p>
    <w:p w14:paraId="7752D887" w14:textId="75AD0E6F" w:rsidR="00C46E18" w:rsidRPr="00C46E18" w:rsidRDefault="00C46E18" w:rsidP="00C46E18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Ensures premiums are financially adequate, compliant and sustainable.</w:t>
      </w:r>
    </w:p>
    <w:p w14:paraId="4049A10A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Which dataset MUST reconcile before any certification can proceed?</w:t>
      </w:r>
    </w:p>
    <w:p w14:paraId="63B3C8FC" w14:textId="77777777" w:rsidR="00C46E18" w:rsidRPr="00C46E18" w:rsidRDefault="00C46E18" w:rsidP="00C46E18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Reinsurance treaties vs underwriting guidelines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Premium registers vs management accounts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Sales projections vs investment returns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Payroll expenses vs claim reserves</w:t>
      </w:r>
    </w:p>
    <w:p w14:paraId="033248E9" w14:textId="77777777" w:rsidR="00C46E18" w:rsidRPr="00C46E18" w:rsidRDefault="00C46E18" w:rsidP="00C46E18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3B23D28F" w14:textId="73EDE18F" w:rsidR="00C46E18" w:rsidRPr="00C46E18" w:rsidRDefault="00C46E18" w:rsidP="00C46E18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 xml:space="preserve">Explanation: 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Premium register must match management accounts for data integrity.</w:t>
      </w:r>
    </w:p>
    <w:p w14:paraId="68518F77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 combined ratio consistently above 110% indicates:</w:t>
      </w:r>
    </w:p>
    <w:p w14:paraId="1BF9BF12" w14:textId="77777777" w:rsidR="00C46E18" w:rsidRPr="00C46E18" w:rsidRDefault="00C46E18" w:rsidP="006777A5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Strong profitability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Borderline pricing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Underpricing and emerging loss strain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Good reserve strength</w:t>
      </w:r>
    </w:p>
    <w:p w14:paraId="5723CC29" w14:textId="77777777" w:rsidR="00C46E18" w:rsidRPr="00C46E18" w:rsidRDefault="00C46E18" w:rsidP="006777A5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C</w:t>
      </w:r>
    </w:p>
    <w:p w14:paraId="135C2AB2" w14:textId="60B2A0E5" w:rsidR="00C46E18" w:rsidRPr="00C46E18" w:rsidRDefault="00C46E18" w:rsidP="006777A5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: Claims + expenses &gt; 110% of premiums = unsustainable pricing.</w:t>
      </w:r>
    </w:p>
    <w:p w14:paraId="51DEB46C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Loss Ratio = Incurred Claims / Earned Premium. If claims = 85M and premium = 100M, LR =</w:t>
      </w:r>
    </w:p>
    <w:p w14:paraId="67BC7131" w14:textId="77777777" w:rsidR="00C46E18" w:rsidRPr="00C46E18" w:rsidRDefault="00C46E18" w:rsidP="006777A5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75%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85%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115%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100%</w:t>
      </w:r>
    </w:p>
    <w:p w14:paraId="434F5C76" w14:textId="77777777" w:rsidR="00C46E18" w:rsidRPr="00C46E18" w:rsidRDefault="00C46E18" w:rsidP="006777A5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569AF7C7" w14:textId="3FD35871" w:rsidR="00C46E18" w:rsidRPr="00C46E18" w:rsidRDefault="00C46E18" w:rsidP="00ED25C6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85 divided by 100 = 85% loss ratio.</w:t>
      </w:r>
    </w:p>
    <w:p w14:paraId="12207020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Which condition prevents certification?</w:t>
      </w:r>
    </w:p>
    <w:p w14:paraId="017A4582" w14:textId="77777777" w:rsidR="00C46E18" w:rsidRPr="00C46E18" w:rsidRDefault="00C46E18" w:rsidP="006777A5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Combined ratio &lt; 95%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CAR &gt; 100%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lastRenderedPageBreak/>
        <w:t>C. Expense ratio at 28%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Commission rate exceeds IRA limit</w:t>
      </w:r>
    </w:p>
    <w:p w14:paraId="4AC94373" w14:textId="77777777" w:rsidR="00C46E18" w:rsidRPr="00C46E18" w:rsidRDefault="00C46E18" w:rsidP="006777A5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D</w:t>
      </w:r>
    </w:p>
    <w:p w14:paraId="262D6799" w14:textId="2F536896" w:rsidR="00C46E18" w:rsidRPr="00C46E18" w:rsidRDefault="00C46E18" w:rsidP="006777A5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Commission breaches regulatory limits = automatic certification </w:t>
      </w:r>
      <w:proofErr w:type="gramStart"/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fail</w:t>
      </w:r>
      <w:proofErr w:type="gramEnd"/>
    </w:p>
    <w:p w14:paraId="36EC2F33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Minimum adequate premium is calculated as:</w:t>
      </w:r>
    </w:p>
    <w:p w14:paraId="1DDB9078" w14:textId="77777777" w:rsidR="00C46E18" w:rsidRPr="00C46E18" w:rsidRDefault="00C46E18" w:rsidP="006777A5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Claims + Commissions + Expenses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Pure Premium / Expense Ratio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(Pure Premium + Expenses) / (1 – Margin)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GWP – Loss Ratio</w:t>
      </w:r>
    </w:p>
    <w:p w14:paraId="0B421660" w14:textId="77777777" w:rsidR="00C46E18" w:rsidRPr="00C46E18" w:rsidRDefault="00C46E18" w:rsidP="006777A5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C</w:t>
      </w:r>
    </w:p>
    <w:p w14:paraId="01611EFF" w14:textId="067B5F48" w:rsidR="00C46E18" w:rsidRPr="00C46E18" w:rsidRDefault="00C46E18" w:rsidP="006777A5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Ensures pure premium + cost + profit recovered fully</w:t>
      </w:r>
    </w:p>
    <w:p w14:paraId="05EEC002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Strongest indicator for rate increase?</w:t>
      </w:r>
    </w:p>
    <w:p w14:paraId="3348B604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Stable frequency + declining severity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Loss ratio rises 18% YoY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Premium growth &gt;20%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Expense ratio &lt;20%</w:t>
      </w:r>
    </w:p>
    <w:p w14:paraId="077B79A7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26F6A6B7" w14:textId="190E3635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Rapid deterioration implies underpricing risk.</w:t>
      </w:r>
    </w:p>
    <w:p w14:paraId="5F668EA9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Certification should not proceed when:</w:t>
      </w:r>
    </w:p>
    <w:p w14:paraId="7C7BD939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CR = 97%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Avg rate 2% above adequacy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Pricing 12% below adequacy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LR = 60%</w:t>
      </w:r>
    </w:p>
    <w:p w14:paraId="3649508D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C</w:t>
      </w:r>
    </w:p>
    <w:p w14:paraId="35A3F9FB" w14:textId="51424953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: Underpricing &gt;10% requires adjustment before approval.</w:t>
      </w:r>
    </w:p>
    <w:p w14:paraId="6EB9D3F8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'Approve with Conditions' means:</w:t>
      </w:r>
    </w:p>
    <w:p w14:paraId="6A05BD5D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Fully adequate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Must increase pricing immediately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Adequate but requires monitoring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IRA approval irrelevant</w:t>
      </w:r>
    </w:p>
    <w:p w14:paraId="793E84C1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C</w:t>
      </w:r>
    </w:p>
    <w:p w14:paraId="6E77D67F" w14:textId="7703C639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Suitable when near adequacy threshold with emerging risk.</w:t>
      </w:r>
    </w:p>
    <w:p w14:paraId="066CC60B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Most sensitive to claims </w:t>
      </w:r>
      <w:proofErr w:type="gramStart"/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inflation?</w:t>
      </w:r>
      <w:proofErr w:type="gramEnd"/>
    </w:p>
    <w:p w14:paraId="15F649DF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Expense Ratio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Loss Ratio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lastRenderedPageBreak/>
        <w:t>C. Commission Ratio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CAR</w:t>
      </w:r>
    </w:p>
    <w:p w14:paraId="247CBA7E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600B3C61" w14:textId="66D86713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: Claims inflation increases severity and loss ratio primarily.</w:t>
      </w:r>
    </w:p>
    <w:p w14:paraId="2A182F74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CAR Fall 150% </w:t>
      </w:r>
      <w:r w:rsidRPr="00C46E1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→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110% suggests:</w:t>
      </w:r>
    </w:p>
    <w:p w14:paraId="7CE1434A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Strong profits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Low growth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Capital strain from losses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Commission savings</w:t>
      </w:r>
    </w:p>
    <w:p w14:paraId="68DF5907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C</w:t>
      </w:r>
    </w:p>
    <w:p w14:paraId="5B675827" w14:textId="2472EEB6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Decline signals underwriting deterioration affecting solvency</w:t>
      </w:r>
    </w:p>
    <w:p w14:paraId="26ADBE9D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If severity increases, appropriate action is:</w:t>
      </w:r>
    </w:p>
    <w:p w14:paraId="72765CD5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Reduce premiums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Increase deductibles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Remove reinsurance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Cut commission only</w:t>
      </w:r>
    </w:p>
    <w:p w14:paraId="41D44260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07034567" w14:textId="683C79C8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Deductibles control high severity exposure.</w:t>
      </w:r>
    </w:p>
    <w:p w14:paraId="238A42CE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Mandatory content in certificate?</w:t>
      </w:r>
    </w:p>
    <w:p w14:paraId="0A31B022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Broker feedback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Pricing adequacy opinion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Competitor benchmarking only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Marketing summary</w:t>
      </w:r>
    </w:p>
    <w:p w14:paraId="2F3EACEB" w14:textId="77777777" w:rsidR="00C46E18" w:rsidRPr="00C46E18" w:rsidRDefault="00C46E18" w:rsidP="0061280C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127C7F6D" w14:textId="4240625B" w:rsidR="00C46E18" w:rsidRPr="00C46E18" w:rsidRDefault="00C46E18" w:rsidP="00841D07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Certificate must contain adequacy conclusion and recommendation</w:t>
      </w:r>
      <w:r w:rsidR="00ED25C6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.</w:t>
      </w:r>
    </w:p>
    <w:p w14:paraId="4D313A16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Dataset acceptable only after:</w:t>
      </w:r>
    </w:p>
    <w:p w14:paraId="748E2E63" w14:textId="77777777" w:rsidR="00C46E18" w:rsidRPr="00C46E18" w:rsidRDefault="00C46E18" w:rsidP="00ED25C6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Gaps ignored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Validation log signed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C. Market assumption only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CAR &gt;100%</w:t>
      </w:r>
    </w:p>
    <w:p w14:paraId="0D968859" w14:textId="77777777" w:rsidR="00C46E18" w:rsidRPr="00C46E18" w:rsidRDefault="00C46E18" w:rsidP="00ED25C6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62F985E3" w14:textId="3B0A0B36" w:rsidR="00C46E18" w:rsidRPr="00C46E18" w:rsidRDefault="00C46E18" w:rsidP="00ED25C6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Explanation: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 xml:space="preserve"> Signed validation confirms data integrity.</w:t>
      </w:r>
    </w:p>
    <w:p w14:paraId="19924137" w14:textId="77777777" w:rsidR="00C46E18" w:rsidRPr="00C46E18" w:rsidRDefault="00C46E18" w:rsidP="00C46E18">
      <w:pPr>
        <w:pStyle w:val="ListParagraph"/>
        <w:numPr>
          <w:ilvl w:val="0"/>
          <w:numId w:val="3"/>
        </w:numPr>
        <w:spacing w:line="360" w:lineRule="auto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Purpose of average premium rate analysis?</w:t>
      </w:r>
    </w:p>
    <w:p w14:paraId="1ADC961A" w14:textId="77777777" w:rsidR="00C46E18" w:rsidRPr="00C46E18" w:rsidRDefault="00C46E18" w:rsidP="00ED25C6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A. Track revenue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B. Detect pricing drift &amp; underpricing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lastRenderedPageBreak/>
        <w:t>C. Measure distribution profit only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br/>
        <w:t>D. Validate investment returns</w:t>
      </w:r>
    </w:p>
    <w:p w14:paraId="1B7722FD" w14:textId="77777777" w:rsidR="00C46E18" w:rsidRPr="00C46E18" w:rsidRDefault="00C46E18" w:rsidP="00ED25C6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</w:pPr>
      <w:r w:rsidRPr="00C46E18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Answer: B</w:t>
      </w:r>
    </w:p>
    <w:p w14:paraId="347078B3" w14:textId="5AA4E861" w:rsidR="008A2837" w:rsidRPr="001D7177" w:rsidRDefault="00C46E18" w:rsidP="00ED25C6">
      <w:pPr>
        <w:pStyle w:val="ListParagraph"/>
        <w:spacing w:line="360" w:lineRule="auto"/>
        <w:ind w:left="360"/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</w:pPr>
      <w:r w:rsidRPr="00ED25C6">
        <w:rPr>
          <w:rFonts w:ascii="Nunito Sans" w:eastAsia="Times New Roman" w:hAnsi="Nunito Sans" w:cs="Times New Roman"/>
          <w:b/>
          <w:bCs/>
          <w:kern w:val="0"/>
          <w:sz w:val="18"/>
          <w:szCs w:val="18"/>
          <w14:ligatures w14:val="none"/>
        </w:rPr>
        <w:t>Explanation</w:t>
      </w:r>
      <w:r w:rsidRPr="00C46E18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: Used to compare adequ</w:t>
      </w:r>
      <w:r w:rsidR="00997BCC">
        <w:rPr>
          <w:rFonts w:ascii="Nunito Sans" w:eastAsia="Times New Roman" w:hAnsi="Nunito Sans" w:cs="Times New Roman"/>
          <w:kern w:val="0"/>
          <w:sz w:val="18"/>
          <w:szCs w:val="18"/>
          <w14:ligatures w14:val="none"/>
        </w:rPr>
        <w:t>acy across years</w:t>
      </w:r>
    </w:p>
    <w:sectPr w:rsidR="008A2837" w:rsidRPr="001D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2A41372D"/>
    <w:multiLevelType w:val="hybridMultilevel"/>
    <w:tmpl w:val="E638B3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0F7434"/>
    <w:multiLevelType w:val="hybridMultilevel"/>
    <w:tmpl w:val="5BE831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3E72DC"/>
    <w:multiLevelType w:val="hybridMultilevel"/>
    <w:tmpl w:val="5930E1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8572418">
    <w:abstractNumId w:val="1"/>
  </w:num>
  <w:num w:numId="2" w16cid:durableId="1905943440">
    <w:abstractNumId w:val="3"/>
  </w:num>
  <w:num w:numId="3" w16cid:durableId="819005304">
    <w:abstractNumId w:val="2"/>
  </w:num>
  <w:num w:numId="4" w16cid:durableId="65865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19"/>
    <w:rsid w:val="000925C0"/>
    <w:rsid w:val="000B54F9"/>
    <w:rsid w:val="001A619D"/>
    <w:rsid w:val="001D7177"/>
    <w:rsid w:val="002F0ECE"/>
    <w:rsid w:val="00300147"/>
    <w:rsid w:val="00407D27"/>
    <w:rsid w:val="00436312"/>
    <w:rsid w:val="005932C6"/>
    <w:rsid w:val="005E2EC2"/>
    <w:rsid w:val="0061280C"/>
    <w:rsid w:val="00653F6A"/>
    <w:rsid w:val="006777A5"/>
    <w:rsid w:val="00683CC0"/>
    <w:rsid w:val="00750992"/>
    <w:rsid w:val="00790AAB"/>
    <w:rsid w:val="00841D07"/>
    <w:rsid w:val="008A2837"/>
    <w:rsid w:val="008C32BC"/>
    <w:rsid w:val="008E7119"/>
    <w:rsid w:val="00997BCC"/>
    <w:rsid w:val="009C6515"/>
    <w:rsid w:val="009E1A85"/>
    <w:rsid w:val="00B06111"/>
    <w:rsid w:val="00C46E18"/>
    <w:rsid w:val="00CA3E88"/>
    <w:rsid w:val="00E41FBF"/>
    <w:rsid w:val="00ED25C6"/>
    <w:rsid w:val="00EF1894"/>
    <w:rsid w:val="00F5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396E"/>
  <w15:chartTrackingRefBased/>
  <w15:docId w15:val="{47227A08-0F8A-4C5F-928F-A0BAABF0D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1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71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7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alwithParagraphs">
    <w:name w:val="Normal with Paragraphs"/>
    <w:next w:val="Normal"/>
    <w:qFormat/>
    <w:rsid w:val="00407D27"/>
    <w:pPr>
      <w:tabs>
        <w:tab w:val="num" w:pos="1863"/>
      </w:tabs>
      <w:spacing w:before="240" w:after="240" w:line="276" w:lineRule="auto"/>
      <w:ind w:left="1557" w:hanging="567"/>
      <w:jc w:val="both"/>
    </w:pPr>
    <w:rPr>
      <w:rFonts w:ascii="Gilroy" w:eastAsia="Arial" w:hAnsi="Gilroy"/>
      <w:color w:val="000000"/>
      <w:kern w:val="0"/>
      <w:sz w:val="18"/>
      <w:szCs w:val="40"/>
      <w:lang w:eastAsia="en-GB"/>
      <w14:ligatures w14:val="none"/>
    </w:rPr>
  </w:style>
  <w:style w:type="paragraph" w:customStyle="1" w:styleId="Style2">
    <w:name w:val="Style2"/>
    <w:basedOn w:val="NormalwithParagraphs"/>
    <w:qFormat/>
    <w:rsid w:val="00407D27"/>
    <w:pPr>
      <w:tabs>
        <w:tab w:val="clear" w:pos="1863"/>
        <w:tab w:val="num" w:pos="360"/>
      </w:tabs>
      <w:spacing w:before="120" w:after="12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C46E18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C46E18"/>
    <w:rPr>
      <w:rFonts w:eastAsiaTheme="minorEastAsia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C46E1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a8f1fb657bf2cd47f0fde71b10fd2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d4b3e96af636654b9533073474238ce3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E3A682-03F3-4C08-BF03-F4F564D3CD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47CE69-5BCD-4E24-A174-04061C119BB0}">
  <ds:schemaRefs>
    <ds:schemaRef ds:uri="http://purl.org/dc/dcmitype/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2006/metadata/properties"/>
    <ds:schemaRef ds:uri="dfa2d9f5-199c-4212-8ee5-c011be210f49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33A3FDBC-8BDE-4D3A-B368-0685C5E2A2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493</Words>
  <Characters>2984</Characters>
  <Application>Microsoft Office Word</Application>
  <DocSecurity>0</DocSecurity>
  <Lines>129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Musyoka</dc:creator>
  <cp:keywords/>
  <dc:description/>
  <cp:lastModifiedBy>Susan Musyoka</cp:lastModifiedBy>
  <cp:revision>18</cp:revision>
  <dcterms:created xsi:type="dcterms:W3CDTF">2025-10-02T16:33:00Z</dcterms:created>
  <dcterms:modified xsi:type="dcterms:W3CDTF">2025-12-10T07:49:00Z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