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1F618D"/>
          <w:sz w:val="48"/>
        </w:rPr>
        <w:t>PROOF OF VALUE (PoV)</w:t>
        <w:br/>
        <w:t>Multi-Agent Observability Console</w:t>
      </w:r>
    </w:p>
    <w:p>
      <w:pPr>
        <w:spacing w:after="480"/>
        <w:jc w:val="center"/>
      </w:pPr>
      <w:r>
        <w:rPr>
          <w:rFonts w:ascii="Calibri" w:hAnsi="Calibri"/>
          <w:i/>
          <w:color w:val="5D6D7E"/>
          <w:sz w:val="24"/>
        </w:rPr>
        <w:t>Production Telemetry, Diagnostics &amp; Lifecycle Tracing for Gemini Enterprise Agent platform</w:t>
      </w:r>
    </w:p>
    <w:p>
      <w:pPr>
        <w:keepNext/>
        <w:spacing w:before="360" w:after="120"/>
      </w:pPr>
      <w:r>
        <w:rPr>
          <w:rFonts w:ascii="Calibri" w:hAnsi="Calibri"/>
          <w:b/>
          <w:color w:val="1B4F72"/>
          <w:sz w:val="32"/>
        </w:rPr>
        <w:t>1. Executive Summary</w:t>
      </w:r>
    </w:p>
    <w:p>
      <w:r>
        <w:t>In enterprise generative AI applications, solitary LLM agents are rapidly being replaced by multi-agent architectures. These systems dynamically hand off tasks, invoke external enterprise APIs (tools), and manage conversational memory. While these systems offer higher autonomy and capability, they introduce severe observability challenges, including silent failures, agent routing loops, high latency, API cost spikes, and resource contentions.</w:t>
      </w:r>
    </w:p>
    <w:p>
      <w:r>
        <w:t>This Proof of Value (PoV) demonstrates an enterprise-grade Observability Console designed to monitor and trace agents built on the Google Cloud Vertex AI Agent Engine (ADK). By leveraging standard OpenTelemetry (OTel) metrics instrumented directly in Python and rendered via a high-performance interactive dashboard, this console provides real-time visibility into 50 core metrics covering agent execution, tool health, model engine configurations, workflow delays, and host system resource footprints.</w:t>
      </w:r>
    </w:p>
    <w:p>
      <w:pPr>
        <w:keepNext/>
        <w:spacing w:before="360" w:after="120"/>
      </w:pPr>
      <w:r>
        <w:rPr>
          <w:rFonts w:ascii="Calibri" w:hAnsi="Calibri"/>
          <w:b/>
          <w:color w:val="1B4F72"/>
          <w:sz w:val="32"/>
        </w:rPr>
        <w:t>2. Business Value Proposition</w:t>
      </w:r>
    </w:p>
    <w:p>
      <w:r>
        <w:t>Traditional application performance monitoring (APM) tools fail to capture the state, context, and reasoning behavior of LLM agents. The Vertex AI Multi-Agent Observability Console delivers direct business value across four primary areas:</w:t>
      </w:r>
    </w:p>
    <w:p>
      <w:pPr>
        <w:pStyle w:val="ListBullet"/>
      </w:pPr>
      <w:r>
        <w:rPr>
          <w:b/>
        </w:rPr>
        <w:t xml:space="preserve">Cost Optimization &amp; Budget Controls: </w:t>
      </w:r>
      <w:r>
        <w:t>Real-time tracking of token ingestion and generation enables granular cost-per-agent and cost-per-session mapping, preventing surprise bills.</w:t>
      </w:r>
    </w:p>
    <w:p>
      <w:pPr>
        <w:pStyle w:val="ListBullet"/>
      </w:pPr>
      <w:r>
        <w:rPr>
          <w:b/>
        </w:rPr>
        <w:t xml:space="preserve">Latency Bottleneck Identification: </w:t>
      </w:r>
      <w:r>
        <w:t>Differentiates model inference latency from framework routing overhead and tool API durations, pointing developers directly to speed constraints.</w:t>
      </w:r>
    </w:p>
    <w:p>
      <w:pPr>
        <w:pStyle w:val="ListBullet"/>
      </w:pPr>
      <w:r>
        <w:rPr>
          <w:b/>
        </w:rPr>
        <w:t xml:space="preserve">Agent Routing &amp; Logic Verification: </w:t>
      </w:r>
      <w:r>
        <w:t>Exposes reasoning drift scores, root cause search depth, and routing handoffs (e.g. Triage -&gt; Billing Specialist), mitigating reasoning feedback loops.</w:t>
      </w:r>
    </w:p>
    <w:p>
      <w:pPr>
        <w:pStyle w:val="ListBullet"/>
      </w:pPr>
      <w:r>
        <w:rPr>
          <w:b/>
        </w:rPr>
        <w:t xml:space="preserve">API &amp; Integration Reliability: </w:t>
      </w:r>
      <w:r>
        <w:t>Monitors tool execution errors, timeout thresholds, concurrency peaks, and cache hits/misses, protecting critical backend transaction services.</w:t>
      </w:r>
    </w:p>
    <w:p>
      <w:pPr>
        <w:keepNext/>
        <w:spacing w:before="360" w:after="120"/>
      </w:pPr>
      <w:r>
        <w:rPr>
          <w:rFonts w:ascii="Calibri" w:hAnsi="Calibri"/>
          <w:b/>
          <w:color w:val="1B4F72"/>
          <w:sz w:val="32"/>
        </w:rPr>
        <w:t>3. Observability Architecture &amp; Semantic Metrics</w:t>
      </w:r>
    </w:p>
    <w:p>
      <w:r>
        <w:t>The application integrates the Google Vertex Agent Engine SDK with the standard OpenTelemetry SDK. The 50 metrics are collected cleanly in-memory and mapped across five core operations dashboards:</w:t>
      </w:r>
    </w:p>
    <w:p>
      <w:pPr>
        <w:spacing w:before="240" w:after="24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otel_observability_architecture_1785175863932.png"/>
                    <pic:cNvPicPr/>
                  </pic:nvPicPr>
                  <pic:blipFill>
                    <a:blip r:embed="rId9"/>
                    <a:stretch>
                      <a:fillRect/>
                    </a:stretch>
                  </pic:blipFill>
                  <pic:spPr>
                    <a:xfrm>
                      <a:off x="0" y="0"/>
                      <a:ext cx="5029200" cy="5029200"/>
                    </a:xfrm>
                    <a:prstGeom prst="rect"/>
                  </pic:spPr>
                </pic:pic>
              </a:graphicData>
            </a:graphic>
          </wp:inline>
        </w:drawing>
      </w:r>
    </w:p>
    <w:p>
      <w:pPr>
        <w:spacing w:after="360"/>
        <w:jc w:val="center"/>
      </w:pPr>
      <w:r>
        <w:rPr>
          <w:i/>
          <w:color w:val="566573"/>
          <w:sz w:val="19"/>
        </w:rPr>
        <w:t>Figure 1: Vertex AI Agent Engine OpenTelemetry Production Architecture Diagram</w:t>
      </w:r>
    </w:p>
    <w:tbl>
      <w:tblPr>
        <w:tblStyle w:val="TableGrid"/>
        <w:tblW w:type="auto" w:w="0"/>
        <w:tblLook w:firstColumn="1" w:firstRow="1" w:lastColumn="0" w:lastRow="0" w:noHBand="0" w:noVBand="1" w:val="04A0"/>
      </w:tblPr>
      <w:tblGrid>
        <w:gridCol w:w="3120"/>
        <w:gridCol w:w="3120"/>
        <w:gridCol w:w="3120"/>
      </w:tblGrid>
      <w:tr>
        <w:tc>
          <w:tcPr>
            <w:tcW w:type="dxa" w:w="3120"/>
            <w:shd w:fill="1F618D"/>
          </w:tcPr>
          <w:p>
            <w:r>
              <w:rPr>
                <w:b/>
                <w:color w:val="FFFFFF"/>
              </w:rPr>
              <w:t>Metric Category</w:t>
            </w:r>
          </w:p>
        </w:tc>
        <w:tc>
          <w:tcPr>
            <w:tcW w:type="dxa" w:w="3120"/>
            <w:shd w:fill="1F618D"/>
          </w:tcPr>
          <w:p>
            <w:r>
              <w:rPr>
                <w:b/>
                <w:color w:val="FFFFFF"/>
              </w:rPr>
              <w:t>Metrics Count</w:t>
            </w:r>
          </w:p>
        </w:tc>
        <w:tc>
          <w:tcPr>
            <w:tcW w:type="dxa" w:w="3120"/>
            <w:shd w:fill="1F618D"/>
          </w:tcPr>
          <w:p>
            <w:r>
              <w:rPr>
                <w:b/>
                <w:color w:val="FFFFFF"/>
              </w:rPr>
              <w:t>Key Telemetry Mapped</w:t>
            </w:r>
          </w:p>
        </w:tc>
      </w:tr>
      <w:tr>
        <w:tc>
          <w:tcPr>
            <w:tcW w:type="dxa" w:w="3120"/>
          </w:tcPr>
          <w:p>
            <w:r>
              <w:t>Agent Performance</w:t>
            </w:r>
          </w:p>
        </w:tc>
        <w:tc>
          <w:tcPr>
            <w:tcW w:type="dxa" w:w="3120"/>
          </w:tcPr>
          <w:p>
            <w:r>
              <w:t>20 Metrics</w:t>
            </w:r>
          </w:p>
        </w:tc>
        <w:tc>
          <w:tcPr>
            <w:tcW w:type="dxa" w:w="3120"/>
          </w:tcPr>
          <w:p>
            <w:r>
              <w:t>Duration, payload bytes, prompt/completion/total tokens, USD cost, handoff count, reasoning drift, RCA search depth, RCA confidence, memory reads/writes, human feedback, fallback triggers.</w:t>
            </w:r>
          </w:p>
        </w:tc>
      </w:tr>
      <w:tr>
        <w:tc>
          <w:tcPr>
            <w:tcW w:type="dxa" w:w="3120"/>
            <w:shd w:fill="F2F4F4"/>
          </w:tcPr>
          <w:p>
            <w:r>
              <w:t>Tool Diagnostics</w:t>
            </w:r>
          </w:p>
        </w:tc>
        <w:tc>
          <w:tcPr>
            <w:tcW w:type="dxa" w:w="3120"/>
            <w:shd w:fill="F2F4F4"/>
          </w:tcPr>
          <w:p>
            <w:r>
              <w:t>8 Metrics</w:t>
            </w:r>
          </w:p>
        </w:tc>
        <w:tc>
          <w:tcPr>
            <w:tcW w:type="dxa" w:w="3120"/>
            <w:shd w:fill="F2F4F4"/>
          </w:tcPr>
          <w:p>
            <w:r>
              <w:t>Execution duration, total calls, failures count, cache hits, cache misses, payload sizes, timeout counts, active concurrency.</w:t>
            </w:r>
          </w:p>
        </w:tc>
      </w:tr>
      <w:tr>
        <w:tc>
          <w:tcPr>
            <w:tcW w:type="dxa" w:w="3120"/>
          </w:tcPr>
          <w:p>
            <w:r>
              <w:t>Session &amp; Workflow</w:t>
            </w:r>
          </w:p>
        </w:tc>
        <w:tc>
          <w:tcPr>
            <w:tcW w:type="dxa" w:w="3120"/>
          </w:tcPr>
          <w:p>
            <w:r>
              <w:t>10 Metrics</w:t>
            </w:r>
          </w:p>
        </w:tc>
        <w:tc>
          <w:tcPr>
            <w:tcW w:type="dxa" w:w="3120"/>
          </w:tcPr>
          <w:p>
            <w:r>
              <w:t>Session duration, active agents, session memory (chars), session tokens, conversation turns, workflow successes, workflow errors, queue delays, handoff depth, concurrency limits.</w:t>
            </w:r>
          </w:p>
        </w:tc>
      </w:tr>
      <w:tr>
        <w:tc>
          <w:tcPr>
            <w:tcW w:type="dxa" w:w="3120"/>
            <w:shd w:fill="F2F4F4"/>
          </w:tcPr>
          <w:p>
            <w:r>
              <w:t>Model Engine</w:t>
            </w:r>
          </w:p>
        </w:tc>
        <w:tc>
          <w:tcPr>
            <w:tcW w:type="dxa" w:w="3120"/>
            <w:shd w:fill="F2F4F4"/>
          </w:tcPr>
          <w:p>
            <w:r>
              <w:t>6 Metrics</w:t>
            </w:r>
          </w:p>
        </w:tc>
        <w:tc>
          <w:tcPr>
            <w:tcW w:type="dxa" w:w="3120"/>
            <w:shd w:fill="F2F4F4"/>
          </w:tcPr>
          <w:p>
            <w:r>
              <w:t>Model latencies, streaming chunk count, chunk delay overheads, hyperparameters (temperature, top_p, top_k).</w:t>
            </w:r>
          </w:p>
        </w:tc>
      </w:tr>
      <w:tr>
        <w:tc>
          <w:tcPr>
            <w:tcW w:type="dxa" w:w="3120"/>
          </w:tcPr>
          <w:p>
            <w:r>
              <w:t>System Resources</w:t>
            </w:r>
          </w:p>
        </w:tc>
        <w:tc>
          <w:tcPr>
            <w:tcW w:type="dxa" w:w="3120"/>
          </w:tcPr>
          <w:p>
            <w:r>
              <w:t>6 Metrics</w:t>
            </w:r>
          </w:p>
        </w:tc>
        <w:tc>
          <w:tcPr>
            <w:tcW w:type="dxa" w:w="3120"/>
          </w:tcPr>
          <w:p>
            <w:r>
              <w:t>CPU utilization, RAM utilization, Disk utilization, network bytes inbound, network bytes outbound, active consumer connections.</w:t>
            </w:r>
          </w:p>
        </w:tc>
      </w:tr>
    </w:tbl>
    <w:p>
      <w:r>
        <w:br/>
      </w:r>
    </w:p>
    <w:p>
      <w:pPr>
        <w:keepNext/>
        <w:spacing w:before="360" w:after="120"/>
      </w:pPr>
      <w:r>
        <w:rPr>
          <w:rFonts w:ascii="Calibri" w:hAnsi="Calibri"/>
          <w:b/>
          <w:color w:val="1B4F72"/>
          <w:sz w:val="32"/>
        </w:rPr>
        <w:t>4. Deploying to Production (Google Cloud Operations Suite)</w:t>
      </w:r>
    </w:p>
    <w:p>
      <w:r>
        <w:t>For production-grade multi-agent deployments, the in-memory metric reader is replaced with native exports to GCP Operations Suite. Developers can easily scale the PoV setup using the following 3-step pipeline:</w:t>
      </w:r>
    </w:p>
    <w:p>
      <w:r>
        <w:t>1. OpenTelemetry Collector sidecar: Deploy the standard OTel Collector sidecar to GKE or Cloud Run configured with the googlecloud exporter to automatically ingest metrics and traces.</w:t>
      </w:r>
    </w:p>
    <w:p>
      <w:r>
        <w:t>2. Production SDK Provider: Replace the local InMemoryMetricReader with a PeriodicExportingMetricReader connected to the OTLP exporter pointing to the local collector daemon (port 4317).</w:t>
      </w:r>
    </w:p>
    <w:p>
      <w:r>
        <w:t>3. Stackdriver Dashboards &amp; Alerts: Configure alerting threshold rules in Cloud Monitoring for p95 model latencies, agent call error percentages, and token budget alerts.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