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1A73E8"/>
          <w:sz w:val="44"/>
        </w:rPr>
        <w:t>Agent Policy &amp; Regulatory Compliance Specification</w:t>
      </w:r>
    </w:p>
    <w:p>
      <w:pPr>
        <w:spacing w:after="280"/>
      </w:pPr>
      <w:r>
        <w:rPr>
          <w:rFonts w:ascii="Arial" w:hAnsi="Arial"/>
          <w:b/>
          <w:color w:val="5F6368"/>
          <w:sz w:val="23"/>
        </w:rPr>
        <w:t>Enterprise Policy Engine &amp; Multi-Framework Governance Standard</w:t>
        <w:br/>
        <w:t>Google AI Ecosystem — Gemini Enterprise Agent Platform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3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3C4043"/>
                <w:sz w:val="19"/>
              </w:rPr>
              <w:t>Document Focus:</w:t>
            </w:r>
          </w:p>
        </w:tc>
        <w:tc>
          <w:tcPr>
            <w:tcW w:type="dxa" w:w="4968"/>
            <w:shd w:fill="F1F3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 w:val="0"/>
                <w:color w:val="3C4043"/>
                <w:sz w:val="19"/>
              </w:rPr>
              <w:t>Agent Policy Engine, Regulatory Compliance, Data Privacy, Cryptographic Audit Trails</w:t>
            </w:r>
          </w:p>
        </w:tc>
      </w:tr>
      <w:tr>
        <w:tc>
          <w:tcPr>
            <w:tcW w:type="dxa" w:w="4968"/>
            <w:shd w:fill="F1F3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3C4043"/>
                <w:sz w:val="19"/>
              </w:rPr>
              <w:t>Regulatory Scope:</w:t>
            </w:r>
          </w:p>
        </w:tc>
        <w:tc>
          <w:tcPr>
            <w:tcW w:type="dxa" w:w="4968"/>
            <w:shd w:fill="F1F3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 w:val="0"/>
                <w:color w:val="3C4043"/>
                <w:sz w:val="19"/>
              </w:rPr>
              <w:t>HIPAA (US), SOC 2 Type II, EU GDPR (Art. 17/32), India DPDP Act 2023, Gemini Trust Platform</w:t>
            </w:r>
          </w:p>
        </w:tc>
      </w:tr>
      <w:tr>
        <w:tc>
          <w:tcPr>
            <w:tcW w:type="dxa" w:w="4968"/>
            <w:shd w:fill="F1F3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3C4043"/>
                <w:sz w:val="19"/>
              </w:rPr>
              <w:t>Platform Architecture:</w:t>
            </w:r>
          </w:p>
        </w:tc>
        <w:tc>
          <w:tcPr>
            <w:tcW w:type="dxa" w:w="4968"/>
            <w:shd w:fill="F1F3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 w:val="0"/>
                <w:color w:val="3C4043"/>
                <w:sz w:val="19"/>
              </w:rPr>
              <w:t>Gemini Enterprise Agent Platform, Cloud Run Policy Gateway, Cloud DLP, Cloud KMS, BigQuery</w:t>
            </w:r>
          </w:p>
        </w:tc>
      </w:tr>
    </w:tbl>
    <w:p>
      <w:pPr>
        <w:spacing w:after="280"/>
      </w:pPr>
    </w:p>
    <w:p>
      <w:pPr>
        <w:spacing w:before="280" w:after="120"/>
      </w:pPr>
      <w:r>
        <w:rPr>
          <w:b/>
          <w:color w:val="1A73E8"/>
          <w:sz w:val="30"/>
        </w:rPr>
        <w:t>Part I: Agent Policy Engine Specification</w:t>
      </w:r>
    </w:p>
    <w:p>
      <w:pPr>
        <w:spacing w:after="200"/>
      </w:pPr>
      <w:r>
        <w:t>The Agent Policy Engine operates as a zero-trust interception layer enforcing strict execution rules across all human-to-agent and agent-to-agent message flows. The table below defines the active policy rule catalog enforced by the gateway: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728"/>
            <w:shd w:fill="1A73E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Policy ID</w:t>
            </w:r>
          </w:p>
        </w:tc>
        <w:tc>
          <w:tcPr>
            <w:tcW w:type="dxa" w:w="2160"/>
            <w:shd w:fill="1A73E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Policy Rule Name</w:t>
            </w:r>
          </w:p>
        </w:tc>
        <w:tc>
          <w:tcPr>
            <w:tcW w:type="dxa" w:w="2160"/>
            <w:shd w:fill="1A73E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Target Risk / Entity Pattern</w:t>
            </w:r>
          </w:p>
        </w:tc>
        <w:tc>
          <w:tcPr>
            <w:tcW w:type="dxa" w:w="1296"/>
            <w:shd w:fill="1A73E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Action Enforced</w:t>
            </w:r>
          </w:p>
        </w:tc>
        <w:tc>
          <w:tcPr>
            <w:tcW w:type="dxa" w:w="2448"/>
            <w:shd w:fill="1A73E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Description &amp; Enforcement Scope</w:t>
            </w:r>
          </w:p>
        </w:tc>
      </w:tr>
      <w:tr>
        <w:tc>
          <w:tcPr>
            <w:tcW w:type="dxa" w:w="1728"/>
            <w:shd w:fill="F8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HIPAA-PII-01</w:t>
            </w:r>
          </w:p>
        </w:tc>
        <w:tc>
          <w:tcPr>
            <w:tcW w:type="dxa" w:w="2160"/>
            <w:shd w:fill="F8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PHI &amp; PII Masking Shield</w:t>
            </w:r>
          </w:p>
        </w:tc>
        <w:tc>
          <w:tcPr>
            <w:tcW w:type="dxa" w:w="2160"/>
            <w:shd w:fill="F8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SSN, Phone, Email, MRN (MRN-\d{6})</w:t>
            </w:r>
          </w:p>
        </w:tc>
        <w:tc>
          <w:tcPr>
            <w:tcW w:type="dxa" w:w="1296"/>
            <w:shd w:fill="F8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Mask (Redact)</w:t>
            </w:r>
          </w:p>
        </w:tc>
        <w:tc>
          <w:tcPr>
            <w:tcW w:type="dxa" w:w="2448"/>
            <w:shd w:fill="F8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Redacts Medical Record Numbers and sensitive identifiers prior to model ingress under HIPAA §164.312.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DPDP-AADHAAR-02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Indian Aadhaar Masking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\b\d{4}-\d{4}-\d{4}\b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Mask (Redact)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Detects and redacts 12-digit Indian Aadhaar card numbers to comply with Section 8 of India's DPDP Act 2023.</w:t>
            </w:r>
          </w:p>
        </w:tc>
      </w:tr>
      <w:tr>
        <w:tc>
          <w:tcPr>
            <w:tcW w:type="dxa" w:w="1728"/>
            <w:shd w:fill="F8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PROMPT-INJ-03</w:t>
            </w:r>
          </w:p>
        </w:tc>
        <w:tc>
          <w:tcPr>
            <w:tcW w:type="dxa" w:w="2160"/>
            <w:shd w:fill="F8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Prompt Injection Shield</w:t>
            </w:r>
          </w:p>
        </w:tc>
        <w:tc>
          <w:tcPr>
            <w:tcW w:type="dxa" w:w="2160"/>
            <w:shd w:fill="F8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ignore previous|system prompt|bypass filter|override</w:t>
            </w:r>
          </w:p>
        </w:tc>
        <w:tc>
          <w:tcPr>
            <w:tcW w:type="dxa" w:w="1296"/>
            <w:shd w:fill="F8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Block Prompt</w:t>
            </w:r>
          </w:p>
        </w:tc>
        <w:tc>
          <w:tcPr>
            <w:tcW w:type="dxa" w:w="2448"/>
            <w:shd w:fill="F8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Intercepts adversarial prompts attempting to override developer guidelines or hijack agent execution loops.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TOOL-LOCK-04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Tool Command Lockout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execute_bash|rm -rf|delete_database|outbound_ping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Block Tool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Neutralizes unauthorized tool call parameters containing destructive shell injection or database commands.</w:t>
            </w:r>
          </w:p>
        </w:tc>
      </w:tr>
      <w:tr>
        <w:tc>
          <w:tcPr>
            <w:tcW w:type="dxa" w:w="1728"/>
            <w:shd w:fill="F8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GDPR-ERASURE-05</w:t>
            </w:r>
          </w:p>
        </w:tc>
        <w:tc>
          <w:tcPr>
            <w:tcW w:type="dxa" w:w="2160"/>
            <w:shd w:fill="F8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Right to Erasure Filter</w:t>
            </w:r>
          </w:p>
        </w:tc>
        <w:tc>
          <w:tcPr>
            <w:tcW w:type="dxa" w:w="2160"/>
            <w:shd w:fill="F8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forget me|delete data|erase account|gdpr art 17</w:t>
            </w:r>
          </w:p>
        </w:tc>
        <w:tc>
          <w:tcPr>
            <w:tcW w:type="dxa" w:w="1296"/>
            <w:shd w:fill="F8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Flag &amp; Purge</w:t>
            </w:r>
          </w:p>
        </w:tc>
        <w:tc>
          <w:tcPr>
            <w:tcW w:type="dxa" w:w="2448"/>
            <w:shd w:fill="F8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Flags data removal requests for systematic purge, enforcing EU GDPR Article 17 (Right to Erasure).</w:t>
            </w:r>
          </w:p>
        </w:tc>
      </w:tr>
    </w:tbl>
    <w:p>
      <w:pPr>
        <w:spacing w:after="280"/>
      </w:pPr>
    </w:p>
    <w:p>
      <w:pPr>
        <w:spacing w:before="280" w:after="120"/>
      </w:pPr>
      <w:r>
        <w:rPr>
          <w:b/>
          <w:color w:val="1A73E8"/>
          <w:sz w:val="30"/>
        </w:rPr>
        <w:t>Part II: Multi-Framework Regulatory Governance Mapping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fill="1A73E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Regulatory Standard</w:t>
            </w:r>
          </w:p>
        </w:tc>
        <w:tc>
          <w:tcPr>
            <w:tcW w:type="dxa" w:w="2448"/>
            <w:shd w:fill="1A73E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Legal Clause / Mandatory Requirement</w:t>
            </w:r>
          </w:p>
        </w:tc>
        <w:tc>
          <w:tcPr>
            <w:tcW w:type="dxa" w:w="3168"/>
            <w:shd w:fill="1A73E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Policy Engine Control Mechanism</w:t>
            </w:r>
          </w:p>
        </w:tc>
        <w:tc>
          <w:tcPr>
            <w:tcW w:type="dxa" w:w="2016"/>
            <w:shd w:fill="1A73E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GCP Native Binding</w:t>
            </w:r>
          </w:p>
        </w:tc>
      </w:tr>
      <w:tr>
        <w:tc>
          <w:tcPr>
            <w:tcW w:type="dxa" w:w="2160"/>
            <w:shd w:fill="F8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1. HIPAA (US Health Insurance Portability &amp; Accountability Act)</w:t>
            </w:r>
          </w:p>
        </w:tc>
        <w:tc>
          <w:tcPr>
            <w:tcW w:type="dxa" w:w="2448"/>
            <w:shd w:fill="F8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Technical Safeguards §164.312(a)(1) Access Control &amp; §164.312(b) Audit Controls</w:t>
            </w:r>
          </w:p>
        </w:tc>
        <w:tc>
          <w:tcPr>
            <w:tcW w:type="dxa" w:w="3168"/>
            <w:shd w:fill="F8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Automated PHI (Protected Health Information) and MRN (Medical Record Number) redaction before prompt transmission to Gemini models. Ensures patient context remains unidentifiable in model training and context logs.</w:t>
            </w:r>
          </w:p>
        </w:tc>
        <w:tc>
          <w:tcPr>
            <w:tcW w:type="dxa" w:w="2016"/>
            <w:shd w:fill="F8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Google Cloud DLP API (`projects.content.inspect`) + OPA Policy Interceptor on Cloud Run.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2. SOC 2 Type II Compliance Framework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Trust Services Criteria CC6.1 (Logical Access Controls) &amp; CC6.8 (Tamper-Proof Audit Integrity)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SHA-256 block chain linkage connecting every agent prompt, response, and policy violation log. Each block digest is signed asynchronously using Cloud KMS asymmetric RSA-PSS keys, preventing retrospective log tampering.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Google Cloud KMS (`RSA_SIGN_PSS_2048_SHA256`) + BigQuery Append-Only Audit Ledger.</w:t>
            </w:r>
          </w:p>
        </w:tc>
      </w:tr>
      <w:tr>
        <w:tc>
          <w:tcPr>
            <w:tcW w:type="dxa" w:w="2160"/>
            <w:shd w:fill="F8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3. EU GDPR (General Data Protection Regulation)</w:t>
            </w:r>
          </w:p>
        </w:tc>
        <w:tc>
          <w:tcPr>
            <w:tcW w:type="dxa" w:w="2448"/>
            <w:shd w:fill="F8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Article 17 (Right to Erasure) &amp; Article 32 (Security of Processing)</w:t>
            </w:r>
          </w:p>
        </w:tc>
        <w:tc>
          <w:tcPr>
            <w:tcW w:type="dxa" w:w="3168"/>
            <w:shd w:fill="F8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Automated detection of data erasure requests ('forget me', 'delete my data') which triggers key destruction protocols in Cloud KMS, rendering encrypted data at rest unrecoverable.</w:t>
            </w:r>
          </w:p>
        </w:tc>
        <w:tc>
          <w:tcPr>
            <w:tcW w:type="dxa" w:w="2016"/>
            <w:shd w:fill="F8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Cloud KMS Key Destruction + Cloud DLP De-identification Templates.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4. India DPDP Act 2023 (Digital Personal Data Protection Act)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Section 8 (Data Fiduciary Obligations &amp; Personal Data Shielding)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Regex screening (`\b\d{4}-\d{4}-\d{4}\b`) combined with Cloud DLP custom InfoType detectors to mask 12-digit Indian Aadhaar card numbers before prompt submission.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Cloud DLP Custom InfoType `INDIA_AADHAAR` + Policy Ingress Gateway.</w:t>
            </w:r>
          </w:p>
        </w:tc>
      </w:tr>
      <w:tr>
        <w:tc>
          <w:tcPr>
            <w:tcW w:type="dxa" w:w="2160"/>
            <w:shd w:fill="F8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5. Google Gemini Trust Platform Standards</w:t>
            </w:r>
          </w:p>
        </w:tc>
        <w:tc>
          <w:tcPr>
            <w:tcW w:type="dxa" w:w="2448"/>
            <w:shd w:fill="F8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Groundedness Verification &amp; Harm Category Safety Thresholds</w:t>
            </w:r>
          </w:p>
        </w:tc>
        <w:tc>
          <w:tcPr>
            <w:tcW w:type="dxa" w:w="3168"/>
            <w:shd w:fill="F8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Enforces `google.genai.types.SafetySetting` across Harassment, Hate Speech, and Dangerous Content (`BLOCK_MEDIUM_AND_ABOVE`). Evaluates citation precision against enterprise data stores, flagging responses under 85% grounding score as `UNGROUNDED_WARNING`.</w:t>
            </w:r>
          </w:p>
        </w:tc>
        <w:tc>
          <w:tcPr>
            <w:tcW w:type="dxa" w:w="2016"/>
            <w:shd w:fill="F8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Agent Search Grounding Engine + Gemini Safety Guardrails.</w:t>
            </w:r>
          </w:p>
        </w:tc>
      </w:tr>
    </w:tbl>
    <w:p>
      <w:pPr>
        <w:spacing w:after="280"/>
      </w:pPr>
    </w:p>
    <w:p>
      <w:pPr>
        <w:spacing w:before="280" w:after="120"/>
      </w:pPr>
      <w:r>
        <w:rPr>
          <w:b/>
          <w:color w:val="1A73E8"/>
          <w:sz w:val="30"/>
        </w:rPr>
        <w:t>Part III: Cryptographic Audit Architecture &amp; Compliance Reporting</w:t>
      </w:r>
    </w:p>
    <w:p>
      <w:pPr>
        <w:spacing w:after="160"/>
      </w:pPr>
      <w:r>
        <w:t>To satisfy SOC 2 Type II and HIPAA audit requirements, the system enforces tamper-evident cryptographic block generation for every processed event:</w:t>
      </w:r>
    </w:p>
    <w:p>
      <w:pPr>
        <w:pStyle w:val="ListBullet"/>
        <w:spacing w:after="60"/>
      </w:pPr>
      <w:r>
        <w:rPr>
          <w:b/>
        </w:rPr>
        <w:t xml:space="preserve">SHA-256 Hash Linkage: </w:t>
      </w:r>
      <w:r>
        <w:t>Every audit log block contains the SHA-256 hash digest of the preceding record (current.prevHash === prev.hash). Any retrospective alteration of a log record breaks the cryptographic chain.</w:t>
      </w:r>
    </w:p>
    <w:p>
      <w:pPr>
        <w:pStyle w:val="ListBullet"/>
        <w:spacing w:after="60"/>
      </w:pPr>
      <w:r>
        <w:rPr>
          <w:b/>
        </w:rPr>
        <w:t xml:space="preserve">Cloud KMS Asymmetric RSA-PSS Signing: </w:t>
      </w:r>
      <w:r>
        <w:t>Each block digest is digitally signed using an asymmetric key pair in Google Cloud KMS (RSA_SIGN_PSS_2048_SHA256). The public key is available to external auditors to verify log authenticity.</w:t>
      </w:r>
    </w:p>
    <w:p>
      <w:pPr>
        <w:pStyle w:val="ListBullet"/>
        <w:spacing w:after="160"/>
      </w:pPr>
      <w:r>
        <w:rPr>
          <w:b/>
        </w:rPr>
        <w:t xml:space="preserve">BigQuery Append-Only Audit Ledger: </w:t>
      </w:r>
      <w:r>
        <w:t>Signed blocks are written to an append-only BigQuery table (ai_governance_audit.ledger_blocks) configured with partition expiration locks, restricting write access to the automated KMS pipeline.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12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