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color w:val="1A73E8"/>
          <w:sz w:val="48"/>
        </w:rPr>
        <w:t>Agent Policy and Compliance Tower</w:t>
      </w:r>
    </w:p>
    <w:p>
      <w:pPr>
        <w:spacing w:after="360"/>
      </w:pPr>
      <w:r>
        <w:rPr>
          <w:rFonts w:ascii="Arial" w:hAnsi="Arial"/>
          <w:b/>
          <w:color w:val="5F6368"/>
          <w:sz w:val="26"/>
        </w:rPr>
        <w:t>Feature-Wise Implementation Plan &amp; Deployment Roadmap</w:t>
        <w:br/>
        <w:t>Google AI Ecosystem — Gemini Enterprise Agent Platform Transition</w:t>
      </w:r>
    </w:p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1F3F4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b/>
                <w:color w:val="3C4043"/>
                <w:sz w:val="19"/>
              </w:rPr>
              <w:t>Document Version:</w:t>
            </w:r>
          </w:p>
        </w:tc>
        <w:tc>
          <w:tcPr>
            <w:tcW w:type="dxa" w:w="4968"/>
            <w:shd w:fill="F1F3F4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b w:val="0"/>
                <w:color w:val="3C4043"/>
                <w:sz w:val="19"/>
              </w:rPr>
              <w:t>1.2 (Production Feature Roadmap)</w:t>
            </w:r>
          </w:p>
        </w:tc>
      </w:tr>
      <w:tr>
        <w:tc>
          <w:tcPr>
            <w:tcW w:type="dxa" w:w="4968"/>
            <w:shd w:fill="F1F3F4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b/>
                <w:color w:val="3C4043"/>
                <w:sz w:val="19"/>
              </w:rPr>
              <w:t>Target Platform:</w:t>
            </w:r>
          </w:p>
        </w:tc>
        <w:tc>
          <w:tcPr>
            <w:tcW w:type="dxa" w:w="4968"/>
            <w:shd w:fill="F1F3F4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b w:val="0"/>
                <w:color w:val="3C4043"/>
                <w:sz w:val="19"/>
              </w:rPr>
              <w:t>Google Cloud Platform (Gemini Enterprise Agent Platform, Cloud Run, KMS, BigQuery)</w:t>
            </w:r>
          </w:p>
        </w:tc>
      </w:tr>
    </w:tbl>
    <w:p>
      <w:pPr>
        <w:spacing w:after="240"/>
      </w:pPr>
    </w:p>
    <w:p>
      <w:pPr>
        <w:spacing w:before="320" w:after="120"/>
      </w:pPr>
      <w:r>
        <w:rPr>
          <w:rFonts w:ascii="Arial" w:hAnsi="Arial"/>
          <w:b/>
          <w:color w:val="1A73E8"/>
          <w:sz w:val="30"/>
        </w:rPr>
        <w:t>Feature 1: Zero-Trust Gateway Ingress &amp; Egress Shield</w:t>
      </w:r>
    </w:p>
    <w:p>
      <w:pPr>
        <w:spacing w:after="200"/>
      </w:pPr>
      <w:r>
        <w:rPr>
          <w:sz w:val="21"/>
        </w:rPr>
        <w:t>Establishes a high-throughput server-side middleware gateway positioned between client requests and Google Cloud AI services, ensuring 100% payload inspection, PII/PHI redaction, and prompt injection mitigation.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5669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gress_guardrail_shield_178455736608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669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F6368"/>
          <w:sz w:val="18"/>
        </w:rPr>
        <w:t>Figure 1: Zero-Trust Policy Ingress &amp; Egress Shield Console (PII Redaction, Prompt Injection Defense, Tool Lockout)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fill="1A73E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Milestone / Phase</w:t>
            </w:r>
          </w:p>
        </w:tc>
        <w:tc>
          <w:tcPr>
            <w:tcW w:type="dxa" w:w="6192"/>
            <w:shd w:fill="1A73E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Technical Deliverables &amp; Verification Criteria</w:t>
            </w:r>
          </w:p>
        </w:tc>
      </w:tr>
      <w:tr>
        <w:tc>
          <w:tcPr>
            <w:tcW w:type="dxa" w:w="3168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202124"/>
                <w:sz w:val="19"/>
              </w:rPr>
              <w:t>Milestone 1.1: High-Throughput Middleware Core</w:t>
            </w:r>
          </w:p>
        </w:tc>
        <w:tc>
          <w:tcPr>
            <w:tcW w:type="dxa" w:w="6192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C4043"/>
                <w:sz w:val="19"/>
              </w:rPr>
              <w:t>Deploy containerized FastAPI/Go proxy workers on Cloud Run with Always-On CPU allocation. Enforce strict sub-25ms guardrail SLA.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202124"/>
                <w:sz w:val="19"/>
              </w:rPr>
              <w:t>Milestone 1.2: Multi-Framework PII/PHI Redaction Engine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C4043"/>
                <w:sz w:val="19"/>
              </w:rPr>
              <w:t>Integrate regex pattern matcher for Aadhaar (\b\d{4}-\d{4}-\d{4}\b), SSN, and MRN. Connect Google Cloud DLP API for contextual entity detection under HIPAA, GDPR, and DPDP Act 2023.</w:t>
            </w:r>
          </w:p>
        </w:tc>
      </w:tr>
      <w:tr>
        <w:tc>
          <w:tcPr>
            <w:tcW w:type="dxa" w:w="3168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202124"/>
                <w:sz w:val="19"/>
              </w:rPr>
              <w:t>Milestone 1.3: Adversarial Prompt Defense</w:t>
            </w:r>
          </w:p>
        </w:tc>
        <w:tc>
          <w:tcPr>
            <w:tcW w:type="dxa" w:w="6192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C4043"/>
                <w:sz w:val="19"/>
              </w:rPr>
              <w:t>Implement NeMo Guardrails / LLM-Guard classifier to intercept prompt injection attempts, system instruction escapes, and adversarial prefix overrides.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202124"/>
                <w:sz w:val="19"/>
              </w:rPr>
              <w:t>Milestone 1.4: Tool Call Parameter Lockout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C4043"/>
                <w:sz w:val="19"/>
              </w:rPr>
              <w:t>Enforce JSON Schema validation on model tool outputs to block unauthorized system commands (e.g. rm -rf, database drops, bash overrides).</w:t>
            </w:r>
          </w:p>
        </w:tc>
      </w:tr>
    </w:tbl>
    <w:p>
      <w:pPr>
        <w:spacing w:after="280"/>
      </w:pPr>
    </w:p>
    <w:p>
      <w:pPr>
        <w:spacing w:before="320" w:after="120"/>
      </w:pPr>
      <w:r>
        <w:rPr>
          <w:rFonts w:ascii="Arial" w:hAnsi="Arial"/>
          <w:b/>
          <w:color w:val="1A73E8"/>
          <w:sz w:val="30"/>
        </w:rPr>
        <w:t>Feature 2: Gemini Enterprise Multi-Agent Network (Fusion AI Ecosystem)</w:t>
      </w:r>
    </w:p>
    <w:p>
      <w:pPr>
        <w:spacing w:after="200"/>
      </w:pPr>
      <w:r>
        <w:rPr>
          <w:sz w:val="21"/>
        </w:rPr>
        <w:t>Implements the multi-agent orchestration layer natively within the Gemini Enterprise Agent Platform (Agent Engine / Agent Runtime), supporting specialized agents bound to GCP Service Accounts.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56692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lti_agent_network_178455738231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669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F6368"/>
          <w:sz w:val="18"/>
        </w:rPr>
        <w:t>Figure 2: Gemini Enterprise Multi-Agent Network Console (Orchestrator, TimesFM 2.0, BQML, Chatbot Agents)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fill="1A73E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Milestone / Phase</w:t>
            </w:r>
          </w:p>
        </w:tc>
        <w:tc>
          <w:tcPr>
            <w:tcW w:type="dxa" w:w="6192"/>
            <w:shd w:fill="1A73E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Technical Deliverables &amp; Verification Criteria</w:t>
            </w:r>
          </w:p>
        </w:tc>
      </w:tr>
      <w:tr>
        <w:tc>
          <w:tcPr>
            <w:tcW w:type="dxa" w:w="3168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202124"/>
                <w:sz w:val="19"/>
              </w:rPr>
              <w:t>Milestone 2.1: Orchestrator Agent Setup</w:t>
            </w:r>
          </w:p>
        </w:tc>
        <w:tc>
          <w:tcPr>
            <w:tcW w:type="dxa" w:w="6192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C4043"/>
                <w:sz w:val="19"/>
              </w:rPr>
              <w:t>Configure Orchestrator Agent (sa:fusion-ai-orchestrator) powered by gemini-1.5-pro-002 inside Agent Engine for ReAct multi-step planning.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202124"/>
                <w:sz w:val="19"/>
              </w:rPr>
              <w:t>Milestone 2.2: TimesFM 2.0 Foundation Model Deployment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C4043"/>
                <w:sz w:val="19"/>
              </w:rPr>
              <w:t>Deploy Google's TimesFM 2.0 zero-shot forecasting model on GPU Cloud Run (NVIDIA T4/L4) for univariate time-series demand predictions.</w:t>
            </w:r>
          </w:p>
        </w:tc>
      </w:tr>
      <w:tr>
        <w:tc>
          <w:tcPr>
            <w:tcW w:type="dxa" w:w="3168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202124"/>
                <w:sz w:val="19"/>
              </w:rPr>
              <w:t>Milestone 2.3: BigQuery ML Analytics Agent</w:t>
            </w:r>
          </w:p>
        </w:tc>
        <w:tc>
          <w:tcPr>
            <w:tcW w:type="dxa" w:w="6192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C4043"/>
                <w:sz w:val="19"/>
              </w:rPr>
              <w:t>Connect BQML Agent (sa:fusion-ai-bqml) to query ARIMA_PLUS baseline models via BigQuery Storage API.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202124"/>
                <w:sz w:val="19"/>
              </w:rPr>
              <w:t>Milestone 2.4: Conversational Chatbot Agent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C4043"/>
                <w:sz w:val="19"/>
              </w:rPr>
              <w:t>Deploy low-latency Chatbot Agent (sa:fusion-ai-chatbot) powered by gemini-1.5-flash-002.</w:t>
            </w:r>
          </w:p>
        </w:tc>
      </w:tr>
      <w:tr>
        <w:tc>
          <w:tcPr>
            <w:tcW w:type="dxa" w:w="3168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202124"/>
                <w:sz w:val="19"/>
              </w:rPr>
              <w:t>Milestone 2.5: Workload Identity &amp; Service Account IAM</w:t>
            </w:r>
          </w:p>
        </w:tc>
        <w:tc>
          <w:tcPr>
            <w:tcW w:type="dxa" w:w="6192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C4043"/>
                <w:sz w:val="19"/>
              </w:rPr>
              <w:t>Configure Workload Identity Federation binding each agent to dedicated GCP Service Accounts with minimal IAM privileges.</w:t>
            </w:r>
          </w:p>
        </w:tc>
      </w:tr>
    </w:tbl>
    <w:p>
      <w:pPr>
        <w:spacing w:after="280"/>
      </w:pPr>
    </w:p>
    <w:p>
      <w:pPr>
        <w:spacing w:before="320" w:after="120"/>
      </w:pPr>
      <w:r>
        <w:rPr>
          <w:rFonts w:ascii="Arial" w:hAnsi="Arial"/>
          <w:b/>
          <w:color w:val="1A73E8"/>
          <w:sz w:val="30"/>
        </w:rPr>
        <w:t>Feature 3: Dynamic Safety Guardrails &amp; Agent Search Grounding</w:t>
      </w:r>
    </w:p>
    <w:p>
      <w:pPr>
        <w:spacing w:after="200"/>
      </w:pPr>
      <w:r>
        <w:rPr>
          <w:sz w:val="21"/>
        </w:rPr>
        <w:t>Binds UI security controls directly to native Gemini Safety Guardrails and fact-checks model responses against enterprise data stores using Agent Search Grounding.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56692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fety_grounding_engine_178455739556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669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F6368"/>
          <w:sz w:val="18"/>
        </w:rPr>
        <w:t>Figure 3: Gemini Safety Guardrails &amp; Agent Search Grounding Verification Console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fill="1A73E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Milestone / Phase</w:t>
            </w:r>
          </w:p>
        </w:tc>
        <w:tc>
          <w:tcPr>
            <w:tcW w:type="dxa" w:w="6192"/>
            <w:shd w:fill="1A73E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Technical Deliverables &amp; Verification Criteria</w:t>
            </w:r>
          </w:p>
        </w:tc>
      </w:tr>
      <w:tr>
        <w:tc>
          <w:tcPr>
            <w:tcW w:type="dxa" w:w="3168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202124"/>
                <w:sz w:val="19"/>
              </w:rPr>
              <w:t>Milestone 3.1: Gemini Safety Guardrail Binding</w:t>
            </w:r>
          </w:p>
        </w:tc>
        <w:tc>
          <w:tcPr>
            <w:tcW w:type="dxa" w:w="6192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C4043"/>
                <w:sz w:val="19"/>
              </w:rPr>
              <w:t>Map UI threshold controls directly to google.genai.types.SafetySetting across HARM_CATEGORY_HARASSMENT, HATE_SPEECH, DANGEROUS_CONTENT, and SEXUALLY_EXPLICIT.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202124"/>
                <w:sz w:val="19"/>
              </w:rPr>
              <w:t>Milestone 3.2: Agent Search Fact-Checking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C4043"/>
                <w:sz w:val="19"/>
              </w:rPr>
              <w:t>Index enterprise knowledge bases into Agent Search Data Stores and compute citation precision scores on model responses.</w:t>
            </w:r>
          </w:p>
        </w:tc>
      </w:tr>
      <w:tr>
        <w:tc>
          <w:tcPr>
            <w:tcW w:type="dxa" w:w="3168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202124"/>
                <w:sz w:val="19"/>
              </w:rPr>
              <w:t>Milestone 3.3: Grounding Policy Enforcement</w:t>
            </w:r>
          </w:p>
        </w:tc>
        <w:tc>
          <w:tcPr>
            <w:tcW w:type="dxa" w:w="6192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C4043"/>
                <w:sz w:val="19"/>
              </w:rPr>
              <w:t>Flag outputs falling under 85% grounding confidence with UNGROUNDED_WARNING and trigger automated compliance reviews.</w:t>
            </w:r>
          </w:p>
        </w:tc>
      </w:tr>
    </w:tbl>
    <w:p>
      <w:pPr>
        <w:spacing w:after="280"/>
      </w:pPr>
    </w:p>
    <w:p>
      <w:pPr>
        <w:spacing w:before="320" w:after="120"/>
      </w:pPr>
      <w:r>
        <w:rPr>
          <w:rFonts w:ascii="Arial" w:hAnsi="Arial"/>
          <w:b/>
          <w:color w:val="1A73E8"/>
          <w:sz w:val="30"/>
        </w:rPr>
        <w:t>Feature 4: Immutable Cryptographic Audit Ledger &amp; Compliance Exporter</w:t>
      </w:r>
    </w:p>
    <w:p>
      <w:pPr>
        <w:spacing w:after="200"/>
      </w:pPr>
      <w:r>
        <w:rPr>
          <w:sz w:val="21"/>
        </w:rPr>
        <w:t>Provides tamper-evident audit trail logging by linking transaction blocks with SHA-256 hashes and signing each entry asynchronously via Google Cloud KMS.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56692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ypto_audit_ledger_178455741017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669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F6368"/>
          <w:sz w:val="18"/>
        </w:rPr>
        <w:t>Figure 4: Cryptographic Audit Ledger Console (SHA-256 Block Chain, Cloud KMS RSA-PSS Signatures, Report Exporter)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fill="1A73E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Milestone / Phase</w:t>
            </w:r>
          </w:p>
        </w:tc>
        <w:tc>
          <w:tcPr>
            <w:tcW w:type="dxa" w:w="6192"/>
            <w:shd w:fill="1A73E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Technical Deliverables &amp; Verification Criteria</w:t>
            </w:r>
          </w:p>
        </w:tc>
      </w:tr>
      <w:tr>
        <w:tc>
          <w:tcPr>
            <w:tcW w:type="dxa" w:w="3168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202124"/>
                <w:sz w:val="19"/>
              </w:rPr>
              <w:t>Milestone 4.1: Tamper-Evident SHA-256 Chain</w:t>
            </w:r>
          </w:p>
        </w:tc>
        <w:tc>
          <w:tcPr>
            <w:tcW w:type="dxa" w:w="6192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C4043"/>
                <w:sz w:val="19"/>
              </w:rPr>
              <w:t>Build block hashing pipeline enforcing current.prev_hash === prev.hash. Provision Cloud KMS Asymmetric Key Rings (RSA_SIGN_PSS_2048_SHA256) for digital signatures.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202124"/>
                <w:sz w:val="19"/>
              </w:rPr>
              <w:t>Milestone 4.2: Append-Only BigQuery Storage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C4043"/>
                <w:sz w:val="19"/>
              </w:rPr>
              <w:t>Persist signed block records into BigQuery dataset ai_governance_audit.ledger_blocks with partition expiration locks and Auditor-only IAM access.</w:t>
            </w:r>
          </w:p>
        </w:tc>
      </w:tr>
      <w:tr>
        <w:tc>
          <w:tcPr>
            <w:tcW w:type="dxa" w:w="3168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202124"/>
                <w:sz w:val="19"/>
              </w:rPr>
              <w:t>Milestone 4.3: Integrity Verifier &amp; Exporter</w:t>
            </w:r>
          </w:p>
        </w:tc>
        <w:tc>
          <w:tcPr>
            <w:tcW w:type="dxa" w:w="6192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C4043"/>
                <w:sz w:val="19"/>
              </w:rPr>
              <w:t>Build automated integrity verifier to audit cryptographic chains and export signed PDF/CSV reports for SOC 2 Type II compliance audits.</w:t>
            </w:r>
          </w:p>
        </w:tc>
      </w:tr>
    </w:tbl>
    <w:p>
      <w:pPr>
        <w:spacing w:after="280"/>
      </w:pPr>
    </w:p>
    <w:p>
      <w:pPr>
        <w:spacing w:before="320" w:after="120"/>
      </w:pPr>
      <w:r>
        <w:rPr>
          <w:rFonts w:ascii="Arial" w:hAnsi="Arial"/>
          <w:b/>
          <w:color w:val="1A73E8"/>
          <w:sz w:val="30"/>
        </w:rPr>
        <w:t>Feature 5: Real-Time Control Tower Console &amp; Telemetry Stream</w:t>
      </w:r>
    </w:p>
    <w:p>
      <w:pPr>
        <w:spacing w:after="200"/>
      </w:pPr>
      <w:r>
        <w:rPr>
          <w:sz w:val="21"/>
        </w:rPr>
        <w:t>Delivers a high-fidelity operational console providing live telemetry streams, inter-agent intercept logs, and interactive stress-testing controls.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56692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ol_tower_console_178455742490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669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F6368"/>
          <w:sz w:val="18"/>
        </w:rPr>
        <w:t>Figure 5: Control Tower Dashboard &amp; Real-Time Telemetry Stream (Live Risk Metrics, What-If Shock Simulator)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fill="1A73E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Milestone / Phase</w:t>
            </w:r>
          </w:p>
        </w:tc>
        <w:tc>
          <w:tcPr>
            <w:tcW w:type="dxa" w:w="6192"/>
            <w:shd w:fill="1A73E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Technical Deliverables &amp; Verification Criteria</w:t>
            </w:r>
          </w:p>
        </w:tc>
      </w:tr>
      <w:tr>
        <w:tc>
          <w:tcPr>
            <w:tcW w:type="dxa" w:w="3168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202124"/>
                <w:sz w:val="19"/>
              </w:rPr>
              <w:t>Milestone 5.1: Cloud Pub/Sub &amp; Telemetry Bridge</w:t>
            </w:r>
          </w:p>
        </w:tc>
        <w:tc>
          <w:tcPr>
            <w:tcW w:type="dxa" w:w="6192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C4043"/>
                <w:sz w:val="19"/>
              </w:rPr>
              <w:t>Publish governance events to Cloud Pub/Sub and stream real-time Server-Sent Events (SSE) / WebSockets to the web console.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202124"/>
                <w:sz w:val="19"/>
              </w:rPr>
              <w:t>Milestone 5.2: OpenTelemetry Distributed Tracing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C4043"/>
                <w:sz w:val="19"/>
              </w:rPr>
              <w:t>Instrument inter-agent requests with OpenTelemetry (traceparent) headers, exporting trace spans to Cloud Trace and Cloud Monitoring.</w:t>
            </w:r>
          </w:p>
        </w:tc>
      </w:tr>
      <w:tr>
        <w:tc>
          <w:tcPr>
            <w:tcW w:type="dxa" w:w="3168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202124"/>
                <w:sz w:val="19"/>
              </w:rPr>
              <w:t>Milestone 5.3: Interactive Console UI</w:t>
            </w:r>
          </w:p>
        </w:tc>
        <w:tc>
          <w:tcPr>
            <w:tcW w:type="dxa" w:w="6192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C4043"/>
                <w:sz w:val="19"/>
              </w:rPr>
              <w:t>Integrate real-time risk metric charts, What-If Shock Simulator controls (+10% to +50%), and inter-agent execution logs into the main dashboard UI.</w:t>
            </w:r>
          </w:p>
        </w:tc>
      </w:tr>
    </w:tbl>
    <w:p>
      <w:pPr>
        <w:spacing w:after="280"/>
      </w:pPr>
    </w:p>
    <w:p>
      <w:pPr>
        <w:spacing w:before="320" w:after="120"/>
      </w:pPr>
      <w:r>
        <w:rPr>
          <w:rFonts w:ascii="Arial" w:hAnsi="Arial"/>
          <w:b/>
          <w:color w:val="1A73E8"/>
          <w:sz w:val="30"/>
        </w:rPr>
        <w:t>Feature 6: Production CI/CD Infrastructure, Staging &amp; Final Deployment</w:t>
      </w:r>
    </w:p>
    <w:p>
      <w:pPr>
        <w:spacing w:after="200"/>
      </w:pPr>
      <w:r>
        <w:rPr>
          <w:sz w:val="21"/>
        </w:rPr>
        <w:t>Manages automated infrastructure provisioning, security red-teaming, and progressive canary rollouts to guarantee zero-downtime production deployment.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56692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cd_staging_deployment_178455743991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669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F6368"/>
          <w:sz w:val="18"/>
        </w:rPr>
        <w:t>Figure 6: Production CI/CD Infrastructure &amp; Canary Staging Deployment Console (Terraform IaC, Red-Teaming)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fill="1A73E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Milestone / Phase</w:t>
            </w:r>
          </w:p>
        </w:tc>
        <w:tc>
          <w:tcPr>
            <w:tcW w:type="dxa" w:w="6192"/>
            <w:shd w:fill="1A73E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Technical Deliverables &amp; Verification Criteria</w:t>
            </w:r>
          </w:p>
        </w:tc>
      </w:tr>
      <w:tr>
        <w:tc>
          <w:tcPr>
            <w:tcW w:type="dxa" w:w="3168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202124"/>
                <w:sz w:val="19"/>
              </w:rPr>
              <w:t>Milestone 6.1: Terraform IaC Provisioning</w:t>
            </w:r>
          </w:p>
        </w:tc>
        <w:tc>
          <w:tcPr>
            <w:tcW w:type="dxa" w:w="6192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C4043"/>
                <w:sz w:val="19"/>
              </w:rPr>
              <w:t>Write Terraform scripts provisioning Cloud Run workers, Cloud DLP templates, Cloud KMS key rings, BigQuery tables, and Pub/Sub topics.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202124"/>
                <w:sz w:val="19"/>
              </w:rPr>
              <w:t>Milestone 6.2: Automated Red-Teaming &amp; Security Testing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C4043"/>
                <w:sz w:val="19"/>
              </w:rPr>
              <w:t>Execute automated CI/CD security test suites running prompt injection attacks, Aadhaar PII leakage tests, and cryptographic tamper attempts.</w:t>
            </w:r>
          </w:p>
        </w:tc>
      </w:tr>
      <w:tr>
        <w:tc>
          <w:tcPr>
            <w:tcW w:type="dxa" w:w="3168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202124"/>
                <w:sz w:val="19"/>
              </w:rPr>
              <w:t>Milestone 6.3: Canary Rollout &amp; Final Production Cutover</w:t>
            </w:r>
          </w:p>
        </w:tc>
        <w:tc>
          <w:tcPr>
            <w:tcW w:type="dxa" w:w="6192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C4043"/>
                <w:sz w:val="19"/>
              </w:rPr>
              <w:t>Deploy Policy Gateway to Cloud Run / GKE with traffic splitting (10% -&gt; 50% -&gt; 100%), obtaining formal SecOps and Compliance production sign-off.</w:t>
            </w:r>
          </w:p>
        </w:tc>
      </w:tr>
    </w:tbl>
    <w:p>
      <w:pPr>
        <w:spacing w:after="28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1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