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73E8"/>
          <w:sz w:val="48"/>
        </w:rPr>
        <w:t>Agent Policy and Compliance Tower</w:t>
      </w:r>
    </w:p>
    <w:p>
      <w:pPr>
        <w:spacing w:after="280"/>
      </w:pPr>
      <w:r>
        <w:rPr>
          <w:rFonts w:ascii="Arial" w:hAnsi="Arial"/>
          <w:b/>
          <w:color w:val="5F6368"/>
          <w:sz w:val="24"/>
        </w:rPr>
        <w:t>Low-Level Technical Design Document (LLD)</w:t>
        <w:br/>
        <w:t>Component Architecture Diagram, Class Interfaces, Schemas &amp; API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Document Version: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2.0 (Production LLD with Component Architecture Diagram)</w:t>
            </w:r>
          </w:p>
        </w:tc>
      </w:tr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Target Platform: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Google Cloud Platform (Gemini Enterprise Agent Platform, Agent Engine, Cloud Run, Cloud DLP, Cloud KMS, BigQuery)</w:t>
            </w:r>
          </w:p>
        </w:tc>
      </w:tr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Regulatory Scope: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HIPAA (US), SOC 2 Type II, EU GDPR (Art. 17/32), India DPDP Act 2023, Gemini Trust Platform</w:t>
            </w:r>
          </w:p>
        </w:tc>
      </w:tr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Repository &amp; Endpoint: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https://github.com/Bethana86/ai-governance-control-tower.git | http://localhost:8081/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1A73E8"/>
          <w:sz w:val="30"/>
        </w:rPr>
        <w:t>1. Executive Overview &amp; Technical LLD Scope</w:t>
      </w:r>
    </w:p>
    <w:p>
      <w:pPr>
        <w:spacing w:after="200"/>
      </w:pPr>
      <w:r>
        <w:t>This Low-Level Design (LLD) document provides granular technical specifications for developers, SecOps engineers, and compliance architects building the **Agent Policy and Compliance Tower**. While the HLD establishes system boundaries, this LLD defines class interfaces, regex evaluation engines, API endpoints, BigQuery schemas, cryptographic block signatures, and frontend state controllers operating on **http://localhost:8081/**.</w:t>
      </w:r>
    </w:p>
    <w:p>
      <w:pPr>
        <w:spacing w:before="280" w:after="120"/>
      </w:pPr>
      <w:r>
        <w:rPr>
          <w:b/>
          <w:color w:val="1A73E8"/>
          <w:sz w:val="30"/>
        </w:rPr>
        <w:t>2. Low-Level Component Architecture Diagram</w:t>
      </w:r>
    </w:p>
    <w:p>
      <w:pPr>
        <w:spacing w:after="160"/>
      </w:pPr>
      <w:r>
        <w:t>The diagram below illustrates the detailed internal component architecture, class pipelines, API gateways, database schemas, and cryptographic signing flows across all system modules: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d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/>
          <w:color w:val="5F6368"/>
          <w:sz w:val="18"/>
        </w:rPr>
        <w:t>Figure 1: Low-Level Component Architecture &amp; Technical Sequence Diagram — Agent Policy and Compliance Tower</w:t>
      </w:r>
    </w:p>
    <w:p>
      <w:pPr>
        <w:spacing w:after="200"/>
      </w:pPr>
    </w:p>
    <w:p>
      <w:pPr>
        <w:spacing w:before="280" w:after="120"/>
      </w:pPr>
      <w:r>
        <w:rPr>
          <w:b/>
          <w:color w:val="1A73E8"/>
          <w:sz w:val="30"/>
        </w:rPr>
        <w:t>3. Policy Gateway Middleware Implementation Specs</w:t>
      </w:r>
    </w:p>
    <w:p>
      <w:pPr>
        <w:spacing w:after="120"/>
      </w:pPr>
      <w:r>
        <w:t>The Policy Ingress Gateway executes a 4-step synchronous evaluation pipeline on every prompt payload before delegating requests to the Gemini Agent Runtime:</w:t>
      </w:r>
    </w:p>
    <w:p>
      <w:pPr>
        <w:pStyle w:val="ListBullet"/>
        <w:spacing w:after="40"/>
      </w:pPr>
      <w:r>
        <w:rPr>
          <w:b/>
        </w:rPr>
        <w:t xml:space="preserve">Step 1: Local Regex Screening (&lt;3ms): </w:t>
      </w:r>
      <w:r>
        <w:t>Evaluates sensitive ID patterns including Indian Aadhaar (\b\d{4}-\d{4}-\d{4}\b), US SSN, Medical Record Numbers (MRN-\d{6}), and credentials (AIzaSy...).</w:t>
      </w:r>
    </w:p>
    <w:p>
      <w:pPr>
        <w:pStyle w:val="ListBullet"/>
        <w:spacing w:after="40"/>
      </w:pPr>
      <w:r>
        <w:rPr>
          <w:b/>
        </w:rPr>
        <w:t xml:space="preserve">Step 2: Async Cloud DLP Inspection (&lt;12ms): </w:t>
      </w:r>
      <w:r>
        <w:t>Dispatches payload snippets to Google Cloud DLP projects.content.inspect for contextual entity detection under HIPAA and DPDP Act 2023.</w:t>
      </w:r>
    </w:p>
    <w:p>
      <w:pPr>
        <w:pStyle w:val="ListBullet"/>
        <w:spacing w:after="40"/>
      </w:pPr>
      <w:r>
        <w:rPr>
          <w:b/>
        </w:rPr>
        <w:t xml:space="preserve">Step 3: Adversarial Intent Scoring (&lt;5ms): </w:t>
      </w:r>
      <w:r>
        <w:t>Scores prompt embeddings against binary prompt injection escape classifiers.</w:t>
      </w:r>
    </w:p>
    <w:p>
      <w:pPr>
        <w:pStyle w:val="ListBullet"/>
        <w:spacing w:after="40"/>
      </w:pPr>
      <w:r>
        <w:rPr>
          <w:b/>
        </w:rPr>
        <w:t xml:space="preserve">Step 4: Tool Parameter Lockout Validation (&lt;3ms): </w:t>
      </w:r>
      <w:r>
        <w:t>Validates output tool parameters against JSON Schemas, neutralizing destructive commands (rm -rf, delete_database).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Module / Class Name</w:t>
            </w:r>
          </w:p>
        </w:tc>
        <w:tc>
          <w:tcPr>
            <w:tcW w:type="dxa" w:w="3744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Primary Method / Function Signature</w:t>
            </w:r>
          </w:p>
        </w:tc>
        <w:tc>
          <w:tcPr>
            <w:tcW w:type="dxa" w:w="3168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Implementation Logic &amp; SLA Target</w:t>
            </w:r>
          </w:p>
        </w:tc>
      </w:tr>
      <w:tr>
        <w:tc>
          <w:tcPr>
            <w:tcW w:type="dxa" w:w="288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PolicyIngressGateway</w:t>
            </w:r>
          </w:p>
        </w:tc>
        <w:tc>
          <w:tcPr>
            <w:tcW w:type="dxa" w:w="3744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JetBrains Mono" w:hAnsi="JetBrains Mono"/>
                <w:sz w:val="17"/>
              </w:rPr>
              <w:t>async scan_payload(request: PromptRequest) -&gt; PromptResponse</w:t>
            </w:r>
          </w:p>
        </w:tc>
        <w:tc>
          <w:tcPr>
            <w:tcW w:type="dxa" w:w="316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Main ingress entry point. Runs regex scanner, DLP async inspector, and injection classifier under sub-25ms SLA.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PIIRedactionEngine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JetBrains Mono" w:hAnsi="JetBrains Mono"/>
                <w:sz w:val="17"/>
              </w:rPr>
              <w:t>redact_sensitive_entities(text: str) -&gt; RedactionResult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Applies regex masks for Aadhaar (****-****-1234), SSN, and MRN before model context ingestion.</w:t>
            </w:r>
          </w:p>
        </w:tc>
      </w:tr>
      <w:tr>
        <w:tc>
          <w:tcPr>
            <w:tcW w:type="dxa" w:w="288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AdversarialInjectionFilter</w:t>
            </w:r>
          </w:p>
        </w:tc>
        <w:tc>
          <w:tcPr>
            <w:tcW w:type="dxa" w:w="3744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JetBrains Mono" w:hAnsi="JetBrains Mono"/>
                <w:sz w:val="17"/>
              </w:rPr>
              <w:t>evaluate_intent_score(prompt: str) -&gt; float</w:t>
            </w:r>
          </w:p>
        </w:tc>
        <w:tc>
          <w:tcPr>
            <w:tcW w:type="dxa" w:w="316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Computes embedding cosine similarity against known jailbreak/prefix escape patterns.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ToolParameterLockout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JetBrains Mono" w:hAnsi="JetBrains Mono"/>
                <w:sz w:val="17"/>
              </w:rPr>
              <w:t>validate_tool_call(tool_name: str, params: dict) -&gt; bool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Enforces strict JSON schema validation, blocking high-risk bash commands and SQL injection strings.</w:t>
            </w:r>
          </w:p>
        </w:tc>
      </w:tr>
      <w:tr>
        <w:tc>
          <w:tcPr>
            <w:tcW w:type="dxa" w:w="288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EgressVerificationShield</w:t>
            </w:r>
          </w:p>
        </w:tc>
        <w:tc>
          <w:tcPr>
            <w:tcW w:type="dxa" w:w="3744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JetBrains Mono" w:hAnsi="JetBrains Mono"/>
                <w:sz w:val="17"/>
              </w:rPr>
              <w:t>verify_output_grounding(response: ModelResponse) -&gt; GroundingResult</w:t>
            </w:r>
          </w:p>
        </w:tc>
        <w:tc>
          <w:tcPr>
            <w:tcW w:type="dxa" w:w="316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Extracts grounding_metadata citations, computing precision scores against enterprise data stores.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1A73E8"/>
          <w:sz w:val="30"/>
        </w:rPr>
        <w:t>4. Gemini Agent Runtime &amp; Multi-Agent Network Specs</w:t>
      </w:r>
    </w:p>
    <w:p>
      <w:pPr>
        <w:spacing w:after="120"/>
      </w:pPr>
      <w:r>
        <w:t>The **Fusion AI** multi-agent network operates under Workload Identity Federation with dedicated Google Cloud Service Accounts:</w:t>
      </w:r>
    </w:p>
    <w:p>
      <w:pPr>
        <w:pStyle w:val="ListBullet"/>
        <w:spacing w:after="60"/>
      </w:pPr>
      <w:r>
        <w:rPr>
          <w:b/>
        </w:rPr>
        <w:t xml:space="preserve">Orchestrator Agent (gemini-1.5-pro-002): </w:t>
      </w:r>
      <w:r>
        <w:t>Identity: sa:fusion-ai-orchestrator@gcp-project.iam. Executing ReAct reasoning loops, context assembly, and sub-agent task delegation.</w:t>
      </w:r>
    </w:p>
    <w:p>
      <w:pPr>
        <w:pStyle w:val="ListBullet"/>
        <w:spacing w:after="60"/>
      </w:pPr>
      <w:r>
        <w:rPr>
          <w:b/>
        </w:rPr>
        <w:t xml:space="preserve">TimesFM 2.0 Forecasting Agent: </w:t>
      </w:r>
      <w:r>
        <w:t>Identity: sa:fusion-ai-timesfm@gcp-project.iam. Serves Google's TimesFM 2.0 zero-shot foundation model deployed on GPU Cloud Run (NVIDIA T4/L4).</w:t>
      </w:r>
    </w:p>
    <w:p>
      <w:pPr>
        <w:pStyle w:val="ListBullet"/>
        <w:spacing w:after="60"/>
      </w:pPr>
      <w:r>
        <w:rPr>
          <w:b/>
        </w:rPr>
        <w:t xml:space="preserve">BQML Analytics Agent: </w:t>
      </w:r>
      <w:r>
        <w:t>Identity: sa:fusion-ai-bqml@gcp-project.iam. Queries BigQuery ML ARIMA_PLUS baseline models via BigQuery Storage API.</w:t>
      </w:r>
    </w:p>
    <w:p>
      <w:pPr>
        <w:pStyle w:val="ListBullet"/>
        <w:spacing w:after="60"/>
      </w:pPr>
      <w:r>
        <w:rPr>
          <w:b/>
        </w:rPr>
        <w:t xml:space="preserve">Conversational Chatbot Agent (gemini-1.5-flash-002): </w:t>
      </w:r>
      <w:r>
        <w:t>Identity: sa:fusion-ai-chatbot@gcp-project.iam. Low-latency conversational endpoint for operator queries.</w:t>
      </w:r>
    </w:p>
    <w:p>
      <w:pPr>
        <w:spacing w:after="240"/>
      </w:pPr>
    </w:p>
    <w:p>
      <w:pPr>
        <w:spacing w:before="280" w:after="120"/>
      </w:pPr>
      <w:r>
        <w:rPr>
          <w:b/>
          <w:color w:val="1A73E8"/>
          <w:sz w:val="30"/>
        </w:rPr>
        <w:t>5. Cryptographic Audit Ledger &amp; BigQuery DDL Schema</w:t>
      </w:r>
    </w:p>
    <w:p>
      <w:pPr>
        <w:spacing w:after="120"/>
      </w:pPr>
      <w:r>
        <w:t>To ensure complete tamper-evidence for SOC 2 Type II audits, block digests are written to BigQuery using the following DDL schema:</w:t>
      </w:r>
    </w:p>
    <w:p>
      <w:pPr>
        <w:spacing w:after="200"/>
      </w:pPr>
      <w:r>
        <w:rPr>
          <w:rFonts w:ascii="JetBrains Mono" w:hAnsi="JetBrains Mono"/>
          <w:color w:val="10B981"/>
          <w:sz w:val="17"/>
        </w:rPr>
        <w:t>CREATE TABLE `gcp-project.ai_governance_audit.ledger_blocks` (</w:t>
        <w:br/>
        <w:t xml:space="preserve">    block_id INT64 NOT NULL,</w:t>
        <w:br/>
        <w:t xml:space="preserve">    timestamp TIMESTAMP NOT NULL,</w:t>
        <w:br/>
        <w:t xml:space="preserve">    agent_id STRING NOT NULL,</w:t>
        <w:br/>
        <w:t xml:space="preserve">    prompt_hash STRING NOT NULL,</w:t>
        <w:br/>
        <w:t xml:space="preserve">    response_hash STRING NOT NULL,</w:t>
        <w:br/>
        <w:t xml:space="preserve">    policy_violations ARRAY&lt;STRING&gt;,</w:t>
        <w:br/>
        <w:t xml:space="preserve">    prev_hash STRING NOT NULL,</w:t>
        <w:br/>
        <w:t xml:space="preserve">    kms_signature STRING NOT NULL,</w:t>
        <w:br/>
        <w:t xml:space="preserve">    kms_key_version STRING NOT NULL</w:t>
        <w:br/>
        <w:t>)</w:t>
        <w:br/>
        <w:t>PARTITION BY DATE(timestamp)</w:t>
        <w:br/>
        <w:t>CLUSTER BY agent_id;</w:t>
      </w:r>
    </w:p>
    <w:p>
      <w:pPr>
        <w:spacing w:after="200"/>
      </w:pPr>
    </w:p>
    <w:p>
      <w:pPr>
        <w:spacing w:before="280" w:after="120"/>
      </w:pPr>
      <w:r>
        <w:rPr>
          <w:b/>
          <w:color w:val="1A73E8"/>
          <w:sz w:val="30"/>
        </w:rPr>
        <w:t>6. REST API Endpoints &amp; OpenAPI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HTTP Method</w:t>
            </w:r>
          </w:p>
        </w:tc>
        <w:tc>
          <w:tcPr>
            <w:tcW w:type="dxa" w:w="3168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Endpoint Path</w:t>
            </w:r>
          </w:p>
        </w:tc>
        <w:tc>
          <w:tcPr>
            <w:tcW w:type="dxa" w:w="2592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Request / Response Schema</w:t>
            </w:r>
          </w:p>
        </w:tc>
        <w:tc>
          <w:tcPr>
            <w:tcW w:type="dxa" w:w="2304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JetBrains Mono" w:hAnsi="JetBrains Mono"/>
                <w:b/>
                <w:sz w:val="17"/>
              </w:rPr>
              <w:t>POST</w:t>
            </w:r>
          </w:p>
        </w:tc>
        <w:tc>
          <w:tcPr>
            <w:tcW w:type="dxa" w:w="316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JetBrains Mono" w:hAnsi="JetBrains Mono"/>
                <w:b/>
                <w:sz w:val="17"/>
              </w:rPr>
              <w:t>/api/v1/gateway/scan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PromptRequest -&gt; ScanResult</w:t>
            </w:r>
          </w:p>
        </w:tc>
        <w:tc>
          <w:tcPr>
            <w:tcW w:type="dxa" w:w="2304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Synchronous ingress prompt screening, PII redaction, and policy violation check.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JetBrains Mono" w:hAnsi="JetBrains Mono"/>
                <w:b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JetBrains Mono" w:hAnsi="JetBrains Mono"/>
                <w:b/>
                <w:sz w:val="17"/>
              </w:rPr>
              <w:t>/api/v1/audit/blocks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?limit=50 -&gt; List[Block]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Retrieves historical audit ledger blocks with Cloud KMS signature validation.</w:t>
            </w:r>
          </w:p>
        </w:tc>
      </w:tr>
      <w:tr>
        <w:tc>
          <w:tcPr>
            <w:tcW w:type="dxa" w:w="172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JetBrains Mono" w:hAnsi="JetBrains Mono"/>
                <w:b/>
                <w:sz w:val="17"/>
              </w:rPr>
              <w:t>POST</w:t>
            </w:r>
          </w:p>
        </w:tc>
        <w:tc>
          <w:tcPr>
            <w:tcW w:type="dxa" w:w="316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JetBrains Mono" w:hAnsi="JetBrains Mono"/>
                <w:b/>
                <w:sz w:val="17"/>
              </w:rPr>
              <w:t>/api/v1/audit/verify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None -&gt; IntegrityStatus</w:t>
            </w:r>
          </w:p>
        </w:tc>
        <w:tc>
          <w:tcPr>
            <w:tcW w:type="dxa" w:w="2304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Executes recursive SHA-256 prevHash verification across the audit block chain.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JetBrains Mono" w:hAnsi="JetBrains Mono"/>
                <w:b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JetBrains Mono" w:hAnsi="JetBrains Mono"/>
                <w:b/>
                <w:sz w:val="17"/>
              </w:rPr>
              <w:t>/api/v1/telemetry/stream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SSE Stream -&gt; Event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Server-Sent Events endpoint streaming real-time prompt volume and latency metrics.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1A73E8"/>
          <w:sz w:val="30"/>
        </w:rPr>
        <w:t>7. Live Application Implementation Screenshots (http://localhost:8081/)</w:t>
      </w:r>
    </w:p>
    <w:p>
      <w:pPr>
        <w:spacing w:before="240" w:after="80"/>
      </w:pPr>
      <w:r>
        <w:rPr>
          <w:b/>
          <w:color w:val="1A73E8"/>
          <w:sz w:val="25"/>
        </w:rPr>
        <w:t>Module 1: Policy Rules Engine &amp; Dry-Run Tester</w:t>
      </w:r>
    </w:p>
    <w:p>
      <w:pPr>
        <w:spacing w:after="120"/>
      </w:pPr>
      <w:r>
        <w:t>Renders active policy rules (HIPAA-PII-01, DPDP-AADHAAR-02, PROMPT-INJ-03, TOOL-LOCK-04, GDPR-ERASURE-05).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r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2: Live Application Screenshot from http://localhost:8081/?tab=rules — Policy Engine Rules &amp; Regex Patterns</w:t>
      </w:r>
    </w:p>
    <w:p>
      <w:pPr>
        <w:spacing w:before="240" w:after="80"/>
      </w:pPr>
      <w:r>
        <w:rPr>
          <w:b/>
          <w:color w:val="1A73E8"/>
          <w:sz w:val="25"/>
        </w:rPr>
        <w:t>Module 2: Regulatory Compliance Auditor</w:t>
      </w:r>
    </w:p>
    <w:p>
      <w:pPr>
        <w:spacing w:after="120"/>
      </w:pPr>
      <w:r>
        <w:t>Renders interactive compliance checklists across HIPAA, SOC 2 Type II, EU GDPR Art. 17, India DPDP Act 2023, and Gemini Trust.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2_compliance_audi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3: Live Application Screenshot from http://localhost:8081/?tab=compliance — Multi-Framework Compliance Auditor</w:t>
      </w:r>
    </w:p>
    <w:p>
      <w:pPr>
        <w:spacing w:before="240" w:after="80"/>
      </w:pPr>
      <w:r>
        <w:rPr>
          <w:b/>
          <w:color w:val="1A73E8"/>
          <w:sz w:val="25"/>
        </w:rPr>
        <w:t>Module 3: Safety Guardrails &amp; Agent Search Grounding Engine</w:t>
      </w:r>
    </w:p>
    <w:p>
      <w:pPr>
        <w:spacing w:after="120"/>
      </w:pPr>
      <w:r>
        <w:t>Binds safety threshold sliders and fact-checks model outputs against enterprise knowledge stores (98% precision).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grou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4: Live Application Screenshot from http://localhost:8081/?tab=grounding — Agent Search Citation Grounding Console</w:t>
      </w:r>
    </w:p>
    <w:p>
      <w:pPr>
        <w:spacing w:before="240" w:after="80"/>
      </w:pPr>
      <w:r>
        <w:rPr>
          <w:b/>
          <w:color w:val="1A73E8"/>
          <w:sz w:val="25"/>
        </w:rPr>
        <w:t>Module 4: Cryptographic Audit Ledger Terminal</w:t>
      </w:r>
    </w:p>
    <w:p>
      <w:pPr>
        <w:spacing w:after="120"/>
      </w:pPr>
      <w:r>
        <w:t>Displays SHA-256 block chain linkage (current.prevHash === prev.hash) signed via Cloud KMS RSA-PSS asymmetric key rings.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au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5: Live Application Screenshot from http://localhost:8081/?tab=audit — Tamper-Evident Audit Terminal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