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A73E8"/>
          <w:sz w:val="44"/>
        </w:rPr>
        <w:t>Agent Policy &amp; Regulatory Compliance Specification</w:t>
      </w:r>
    </w:p>
    <w:p>
      <w:pPr>
        <w:spacing w:after="280"/>
      </w:pPr>
      <w:r>
        <w:rPr>
          <w:rFonts w:ascii="Arial" w:hAnsi="Arial"/>
          <w:b/>
          <w:color w:val="5F6368"/>
          <w:sz w:val="24"/>
        </w:rPr>
        <w:t>Narrowed Governance Architecture &amp; Regulatory Enforcement Specification</w:t>
        <w:br/>
        <w:t>Google AI Ecosystem — Gemini Enterprise Agent Platform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Document Focus: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Agent Policy Engine, Regulatory Compliance, Cryptographic Auditing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Regulatory Scope: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HIPAA (US), SOC 2 Type II, EU GDPR (Art. 17), India DPDP Act 2023, Gemini Trust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Target Platform: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Gemini Enterprise Agent Platform, Cloud Run Gateway, Cloud DLP, Cloud KMS, BigQuery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1. Executive Overview &amp; Agent Policy Architecture</w:t>
      </w:r>
    </w:p>
    <w:p>
      <w:pPr>
        <w:spacing w:after="200"/>
      </w:pPr>
      <w:r>
        <w:t>This document defines the narrowed technical specification for the **Agent Policy and Compliance Engine** operating within the **Gemini Enterprise Agent Platform**. It focuses specifically on regulatory compliance guardrails, zero-trust inter-agent policy enforcement, and cryptographically verifiable audit trails required for enterprise compliance sign-off.</w:t>
      </w:r>
    </w:p>
    <w:p>
      <w:pPr>
        <w:spacing w:before="280" w:after="120"/>
      </w:pPr>
      <w:r>
        <w:rPr>
          <w:b/>
          <w:color w:val="1A73E8"/>
          <w:sz w:val="30"/>
        </w:rPr>
        <w:t>2. Multi-Framework Regulatory Compliance Enforcement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A73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Regulatory Framework</w:t>
            </w:r>
          </w:p>
        </w:tc>
        <w:tc>
          <w:tcPr>
            <w:tcW w:type="dxa" w:w="2592"/>
            <w:shd w:fill="1A73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Mandated Legal Standard</w:t>
            </w:r>
          </w:p>
        </w:tc>
        <w:tc>
          <w:tcPr>
            <w:tcW w:type="dxa" w:w="2880"/>
            <w:shd w:fill="1A73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Agent Policy Engine Mechanism</w:t>
            </w:r>
          </w:p>
        </w:tc>
        <w:tc>
          <w:tcPr>
            <w:tcW w:type="dxa" w:w="2160"/>
            <w:shd w:fill="1A73E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GCP Native Binding</w:t>
            </w:r>
          </w:p>
        </w:tc>
      </w:tr>
      <w:tr>
        <w:tc>
          <w:tcPr>
            <w:tcW w:type="dxa" w:w="216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HIPAA (US Health)</w:t>
            </w:r>
          </w:p>
        </w:tc>
        <w:tc>
          <w:tcPr>
            <w:tcW w:type="dxa" w:w="2592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§164.312(a)(1) Access Control &amp; PHI Protection</w:t>
            </w:r>
          </w:p>
        </w:tc>
        <w:tc>
          <w:tcPr>
            <w:tcW w:type="dxa" w:w="288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Automated PHI/MRN entity redaction before model ingress; medical record masking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Cloud DLP API + Policy Interceptor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SOC 2 Type II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CC6.1 &amp; CC6.8 Tamper-Proof Audit Logging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SHA-256 block chain linkage with Cloud KMS asymmetric RSA-PSS signatures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Cloud KMS + BigQuery Audit Ledger</w:t>
            </w:r>
          </w:p>
        </w:tc>
      </w:tr>
      <w:tr>
        <w:tc>
          <w:tcPr>
            <w:tcW w:type="dxa" w:w="216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EU GDPR</w:t>
            </w:r>
          </w:p>
        </w:tc>
        <w:tc>
          <w:tcPr>
            <w:tcW w:type="dxa" w:w="2592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Art. 17 Right to Erasure &amp; Art. 32 Encryption</w:t>
            </w:r>
          </w:p>
        </w:tc>
        <w:tc>
          <w:tcPr>
            <w:tcW w:type="dxa" w:w="288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Masking PII at rest/transit; cryptographic key destruction for erasure requests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Cloud KMS + Cloud DLP De-identification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India DPDP Act 2023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Sec. 8 Data Fiduciary Notice &amp; Aadhaar Masking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Regex &amp; Cloud DLP scanning for 12-digit Indian Aadhaar patterns (\b\d{4}-\d{4}-\d{4}\b)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Cloud DLP + Custom Policy Engine</w:t>
            </w:r>
          </w:p>
        </w:tc>
      </w:tr>
      <w:tr>
        <w:tc>
          <w:tcPr>
            <w:tcW w:type="dxa" w:w="216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Gemini Trust Platform</w:t>
            </w:r>
          </w:p>
        </w:tc>
        <w:tc>
          <w:tcPr>
            <w:tcW w:type="dxa" w:w="2592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Groundedness &amp; Safety Standards</w:t>
            </w:r>
          </w:p>
        </w:tc>
        <w:tc>
          <w:tcPr>
            <w:tcW w:type="dxa" w:w="288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Automated citation grounding score calculation &amp; Harm Category safety thresholds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Agent Search &amp; Gemini Safety Guardrails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3. Feature-Wise Agent Policy &amp; Compliance Implementation Roadmap</w:t>
      </w:r>
    </w:p>
    <w:p>
      <w:pPr>
        <w:spacing w:before="280" w:after="80"/>
      </w:pPr>
      <w:r>
        <w:rPr>
          <w:b/>
          <w:color w:val="1A73E8"/>
          <w:sz w:val="26"/>
        </w:rPr>
        <w:t>Feature 1: Ingress &amp; Egress Agent Policy Engine (Zero-Trust Interceptor)</w:t>
      </w:r>
    </w:p>
    <w:p>
      <w:pPr>
        <w:spacing w:after="160"/>
      </w:pPr>
      <w:r>
        <w:t>Establishes a high-throughput Policy Ingress Gateway on Cloud Run that inspects 100% of prompts, tool outputs, and inter-agent messages before model execution.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tory_policy_engine_178455770406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1: Agent Policy Engine Console (Active Rules: GDPR-ERASURE, DPDP-AADHAAR, SOC2-INTEGRITY, HIPAA-PII)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Policy Milestone</w:t>
            </w:r>
          </w:p>
        </w:tc>
        <w:tc>
          <w:tcPr>
            <w:tcW w:type="dxa" w:w="6192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Deliverables &amp; Regulatory Verification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1.1: Zero-Trust Interception Middleware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Deploy containerized FastAPI/Go proxy workers enforcing sub-25ms latency budget SLA.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1.2: System Instruction &amp; Prefix Escape Shield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Implement classifier filtering adversarial jailbreak patterns, prompt injection, and prefix escapes.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1.3: Tool Call Parameter Lockout Engine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Validate tool outputs against JSON schemas to block unauthorized system commands (rm -rf, DB drops).</w:t>
            </w:r>
          </w:p>
        </w:tc>
      </w:tr>
    </w:tbl>
    <w:p>
      <w:pPr>
        <w:spacing w:after="240"/>
      </w:pPr>
    </w:p>
    <w:p>
      <w:pPr>
        <w:spacing w:before="280" w:after="80"/>
      </w:pPr>
      <w:r>
        <w:rPr>
          <w:b/>
          <w:color w:val="1A73E8"/>
          <w:sz w:val="26"/>
        </w:rPr>
        <w:t>Feature 2: Multi-Framework PII/PHI Redaction Engine (HIPAA, GDPR, DPDP 2023)</w:t>
      </w:r>
    </w:p>
    <w:p>
      <w:pPr>
        <w:spacing w:after="160"/>
      </w:pPr>
      <w:r>
        <w:t>Executes automated entity masking on incoming prompts and model responses, shielding sensitive identifiers before data reaches model context windows.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_phi_redaction_compliance_178455771968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2: PII/PHI Redaction Compliance Inspection Dashboard (Indian Aadhaar, MRN, SSN Masking)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Policy Milestone</w:t>
            </w:r>
          </w:p>
        </w:tc>
        <w:tc>
          <w:tcPr>
            <w:tcW w:type="dxa" w:w="6192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Deliverables &amp; Regulatory Verification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2.1: Regex Pattern Screening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Execute local regex scanning for 12-digit Indian Aadhaar patterns (\b\d{4}-\d{4}-\d{4}\b), US SSNs, and Medical Record Numbers (MRNs).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2.2: Google Cloud DLP API Binding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Connect Cloud DLP API projects.content.inspect for deep contextual entity detection under HIPAA and DPDP Act 2023.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2.3: GDPR Right to Erasure Key Vault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Implement cryptographic key destruction protocols enforcing GDPR Art. 17 data erasure compliance.</w:t>
            </w:r>
          </w:p>
        </w:tc>
      </w:tr>
    </w:tbl>
    <w:p>
      <w:pPr>
        <w:spacing w:after="240"/>
      </w:pPr>
    </w:p>
    <w:p>
      <w:pPr>
        <w:spacing w:before="280" w:after="80"/>
      </w:pPr>
      <w:r>
        <w:rPr>
          <w:b/>
          <w:color w:val="1A73E8"/>
          <w:sz w:val="26"/>
        </w:rPr>
        <w:t>Feature 3: Gemini Trust Safety Guardrails &amp; Fact-Checking Engine</w:t>
      </w:r>
    </w:p>
    <w:p>
      <w:pPr>
        <w:spacing w:after="160"/>
      </w:pPr>
      <w:r>
        <w:t>Enforces model safety category thresholds and validates model output factuality against enterprise knowledge stores using Agent Search Grounding.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fety_grounding_policy_178455773364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3: Gemini Safety Guardrails &amp; Agent Search Grounding Fact-Checking Console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Policy Milestone</w:t>
            </w:r>
          </w:p>
        </w:tc>
        <w:tc>
          <w:tcPr>
            <w:tcW w:type="dxa" w:w="6192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Deliverables &amp; Regulatory Verification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3.1: Harm Category Threshold Mapping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Bind UI security controls to google.genai.types.SafetySetting (Harassment, Hate Speech, Dangerous Content set to BLOCK_MEDIUM_AND_ABOVE).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3.2: Agent Search Grounding Citation Precision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Index enterprise documentation into Agent Search Data Stores and calculate citation precision scores.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3.3: Ungrounded Output Intervention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Automatically flag model outputs under 85% grounding confidence with UNGROUNDED_WARNING for compliance officer review.</w:t>
            </w:r>
          </w:p>
        </w:tc>
      </w:tr>
    </w:tbl>
    <w:p>
      <w:pPr>
        <w:spacing w:after="240"/>
      </w:pPr>
    </w:p>
    <w:p>
      <w:pPr>
        <w:spacing w:before="280" w:after="80"/>
      </w:pPr>
      <w:r>
        <w:rPr>
          <w:b/>
          <w:color w:val="1A73E8"/>
          <w:sz w:val="26"/>
        </w:rPr>
        <w:t>Feature 4: Immutable Cryptographic Compliance Audit Ledger &amp; Exporter</w:t>
      </w:r>
    </w:p>
    <w:p>
      <w:pPr>
        <w:spacing w:after="160"/>
      </w:pPr>
      <w:r>
        <w:t>Guarantees tamper-proof logging of all governance decisions by signing SHA-256 block chains using Google Cloud KMS asymmetric RSA-PSS keys.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iance_audit_ledger_report_178455774836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4: Cryptographic Compliance Audit Ledger &amp; SOC 2 / HIPAA Audit Package Exporter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Policy Milestone</w:t>
            </w:r>
          </w:p>
        </w:tc>
        <w:tc>
          <w:tcPr>
            <w:tcW w:type="dxa" w:w="6192"/>
            <w:shd w:fill="1A73E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Deliverables &amp; Regulatory Verification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4.1: SHA-256 Block Hashing Chain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Enforce current.prev_hash === prev.hash block chain linkage for all policy trigger events.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4.2: Cloud KMS Digital Signature Engine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Sign block hashes using Google Cloud KMS RSA_SIGN_PSS_2048_SHA256 asymmetric keys.</w:t>
            </w:r>
          </w:p>
        </w:tc>
      </w:tr>
      <w:t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Phase 4.3: Audit Package Exporter</w:t>
            </w:r>
          </w:p>
        </w:tc>
        <w:tc>
          <w:tcPr>
            <w:tcW w:type="dxa" w:w="61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Generate signed PDF and CSV compliance audit packages for SOC 2 Type II and HIPAA regulatory audits.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