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1AD91" w14:textId="726B6623" w:rsidR="00D06BAA" w:rsidRDefault="00636C52" w:rsidP="00AC18D6">
      <w:pPr>
        <w:pStyle w:val="Title"/>
      </w:pPr>
      <w:r>
        <w:t>Artificial</w:t>
      </w:r>
      <w:r w:rsidR="00AC18D6">
        <w:t xml:space="preserve"> neural network</w:t>
      </w:r>
      <w:r>
        <w:t xml:space="preserve"> based</w:t>
      </w:r>
      <w:r w:rsidR="00AC18D6">
        <w:t xml:space="preserve"> automatic detection </w:t>
      </w:r>
      <w:r>
        <w:t>of</w:t>
      </w:r>
      <w:r w:rsidR="00AC18D6">
        <w:t xml:space="preserve"> motor evoked potentials.</w:t>
      </w:r>
    </w:p>
    <w:p w14:paraId="57709BDC" w14:textId="16183704" w:rsidR="00AC18D6" w:rsidRDefault="00AC18D6" w:rsidP="00AC18D6"/>
    <w:p w14:paraId="3A03641A" w14:textId="4366886B" w:rsidR="00AC18D6" w:rsidRDefault="00AC18D6" w:rsidP="00AC18D6">
      <w:pPr>
        <w:pStyle w:val="Heading1"/>
      </w:pPr>
      <w:r>
        <w:t>Abstract</w:t>
      </w:r>
    </w:p>
    <w:p w14:paraId="4F8C39ED" w14:textId="6BB6D773" w:rsidR="00AC18D6" w:rsidRDefault="00B61038" w:rsidP="00AC18D6">
      <w:r w:rsidRPr="00B61038">
        <w:rPr>
          <w:b/>
          <w:bCs/>
        </w:rPr>
        <w:t>Introduction</w:t>
      </w:r>
      <w:r>
        <w:rPr>
          <w:b/>
          <w:bCs/>
        </w:rPr>
        <w:t>:</w:t>
      </w:r>
      <w:r>
        <w:t xml:space="preserve"> </w:t>
      </w:r>
      <w:r w:rsidR="00AC18D6">
        <w:t xml:space="preserve">Motor evoked potentials (MEP) can be detected using various methods that determine signal changepoints. The current detection methods perform well given a high signal to noise ratio. </w:t>
      </w:r>
      <w:r w:rsidR="00682D98">
        <w:t xml:space="preserve"> However performance can diminish with artefact such as those arising due poor signal quality and external electrical potentials. Part of the problem is likely because the methods ignore the morpholog</w:t>
      </w:r>
      <w:r w:rsidR="00636C52">
        <w:t>y of a signal making it impossible to differential noise</w:t>
      </w:r>
      <w:r w:rsidR="00682D98">
        <w:t xml:space="preserve"> </w:t>
      </w:r>
      <w:r w:rsidR="00636C52">
        <w:t>from</w:t>
      </w:r>
      <w:r w:rsidR="00682D98">
        <w:t xml:space="preserve"> MEPs</w:t>
      </w:r>
      <w:r w:rsidR="00636C52">
        <w:t xml:space="preserve">. The lack of the knowledge of the signal morphology also limits the applications, such as identification of abnormality, of the detection methods. </w:t>
      </w:r>
      <w:r w:rsidRPr="00B61038">
        <w:rPr>
          <w:b/>
          <w:bCs/>
        </w:rPr>
        <w:t>Methods</w:t>
      </w:r>
      <w:r>
        <w:rPr>
          <w:b/>
          <w:bCs/>
        </w:rPr>
        <w:t>:</w:t>
      </w:r>
      <w:r w:rsidRPr="00B61038">
        <w:rPr>
          <w:b/>
          <w:bCs/>
        </w:rPr>
        <w:t xml:space="preserve"> </w:t>
      </w:r>
      <w:r w:rsidR="00636C52">
        <w:t xml:space="preserve">Here, we investigated a new detection method </w:t>
      </w:r>
      <w:r w:rsidR="000841E7">
        <w:t>able to</w:t>
      </w:r>
      <w:r w:rsidR="00636C52">
        <w:t xml:space="preserve"> learn</w:t>
      </w:r>
      <w:r w:rsidR="000841E7">
        <w:t xml:space="preserve"> MEP</w:t>
      </w:r>
      <w:r w:rsidR="00636C52">
        <w:t xml:space="preserve"> morphology using artificial neural networks</w:t>
      </w:r>
      <w:r>
        <w:t xml:space="preserve">. </w:t>
      </w:r>
      <w:r w:rsidR="00382FCD">
        <w:t xml:space="preserve">To build </w:t>
      </w:r>
      <w:r w:rsidR="00487AA6">
        <w:t>an end-to-end</w:t>
      </w:r>
      <w:r w:rsidR="00382FCD">
        <w:t xml:space="preserve"> MEP </w:t>
      </w:r>
      <w:r w:rsidR="00487AA6">
        <w:t>model</w:t>
      </w:r>
      <w:r w:rsidR="00382FCD">
        <w:t>, we trained a neural network</w:t>
      </w:r>
      <w:r w:rsidR="00487AA6">
        <w:t xml:space="preserve"> model with</w:t>
      </w:r>
      <w:r w:rsidR="00382FCD">
        <w:t xml:space="preserve"> architecture based on combined CNN and LSTM, using sample MEP data recorded from able-bodied individuals. The </w:t>
      </w:r>
      <w:r w:rsidR="00487AA6">
        <w:t xml:space="preserve">MEP detection capability of the </w:t>
      </w:r>
      <w:r w:rsidR="00382FCD">
        <w:t xml:space="preserve">classifier was </w:t>
      </w:r>
      <w:r w:rsidR="00487AA6">
        <w:t xml:space="preserve">compared with that of a changepoint based detection method. </w:t>
      </w:r>
      <w:r w:rsidRPr="00B61038">
        <w:rPr>
          <w:b/>
          <w:bCs/>
        </w:rPr>
        <w:t>Results</w:t>
      </w:r>
      <w:r>
        <w:t>:</w:t>
      </w:r>
      <w:r w:rsidR="00636C52">
        <w:t xml:space="preserve"> </w:t>
      </w:r>
      <w:r w:rsidR="00487AA6">
        <w:t xml:space="preserve">The result shows that ….. </w:t>
      </w:r>
      <w:r w:rsidR="00487AA6" w:rsidRPr="00487AA6">
        <w:rPr>
          <w:b/>
          <w:bCs/>
        </w:rPr>
        <w:t>Conclusion</w:t>
      </w:r>
      <w:r w:rsidR="00487AA6">
        <w:t>: …..</w:t>
      </w:r>
    </w:p>
    <w:p w14:paraId="06F6DCA8" w14:textId="3A5A8249" w:rsidR="00F36D15" w:rsidRDefault="00F36D15" w:rsidP="00F36D15">
      <w:pPr>
        <w:pStyle w:val="Heading1"/>
      </w:pPr>
      <w:r>
        <w:t>Introduction</w:t>
      </w:r>
    </w:p>
    <w:p w14:paraId="3D45057C" w14:textId="70A5A901" w:rsidR="00FE0A3F" w:rsidRDefault="00FE0A3F" w:rsidP="00FE0A3F">
      <w:pPr>
        <w:pStyle w:val="ListParagraph"/>
        <w:numPr>
          <w:ilvl w:val="0"/>
          <w:numId w:val="2"/>
        </w:numPr>
      </w:pPr>
      <w:r>
        <w:t>What is MEP</w:t>
      </w:r>
    </w:p>
    <w:p w14:paraId="1E517B75" w14:textId="68710865" w:rsidR="007C72AF" w:rsidRDefault="007C72AF" w:rsidP="00FE0A3F">
      <w:pPr>
        <w:pStyle w:val="ListParagraph"/>
        <w:numPr>
          <w:ilvl w:val="0"/>
          <w:numId w:val="2"/>
        </w:numPr>
      </w:pPr>
      <w:r>
        <w:t>C</w:t>
      </w:r>
      <w:r w:rsidRPr="007C72AF">
        <w:t>haracteristics of MEP</w:t>
      </w:r>
      <w:r>
        <w:br/>
        <w:t>{</w:t>
      </w:r>
      <w:r w:rsidRPr="007C72AF">
        <w:t>Morphology, polarity, latency, amplitude and time width</w:t>
      </w:r>
      <w:r>
        <w:t>}</w:t>
      </w:r>
    </w:p>
    <w:p w14:paraId="535BE906" w14:textId="42E0C893" w:rsidR="006A46E7" w:rsidRDefault="006A46E7" w:rsidP="006A46E7">
      <w:pPr>
        <w:pStyle w:val="ListParagraph"/>
      </w:pPr>
      <w:r>
        <w:t>Figure X.  MEP morphologies.</w:t>
      </w:r>
    </w:p>
    <w:p w14:paraId="4199F017" w14:textId="1644C384" w:rsidR="00FE0A3F" w:rsidRDefault="00FE0A3F" w:rsidP="00FE0A3F">
      <w:pPr>
        <w:pStyle w:val="ListParagraph"/>
        <w:numPr>
          <w:ilvl w:val="0"/>
          <w:numId w:val="2"/>
        </w:numPr>
      </w:pPr>
      <w:r>
        <w:t>What is MEP used for</w:t>
      </w:r>
    </w:p>
    <w:p w14:paraId="670D550D" w14:textId="4DEE303F" w:rsidR="00FE0A3F" w:rsidRDefault="00FE0A3F" w:rsidP="00FE0A3F">
      <w:pPr>
        <w:pStyle w:val="ListParagraph"/>
        <w:numPr>
          <w:ilvl w:val="0"/>
          <w:numId w:val="2"/>
        </w:numPr>
      </w:pPr>
      <w:r>
        <w:t>Why would you autodetect MEP</w:t>
      </w:r>
      <w:r w:rsidR="00C81F1E">
        <w:t xml:space="preserve"> (A SUMMARY OF THE  Application SECTION IN DISCUSSIONS)</w:t>
      </w:r>
    </w:p>
    <w:p w14:paraId="14CF2962" w14:textId="69E84D48" w:rsidR="00FE0A3F" w:rsidRDefault="00FE0A3F" w:rsidP="00FE0A3F">
      <w:pPr>
        <w:pStyle w:val="ListParagraph"/>
        <w:numPr>
          <w:ilvl w:val="0"/>
          <w:numId w:val="2"/>
        </w:numPr>
      </w:pPr>
      <w:r>
        <w:t>What is the current method of autodetecting MEP</w:t>
      </w:r>
    </w:p>
    <w:p w14:paraId="0FE9A3E4" w14:textId="12832B3D" w:rsidR="00FE0A3F" w:rsidRPr="00FE0A3F" w:rsidRDefault="00FE0A3F" w:rsidP="00FE0A3F">
      <w:pPr>
        <w:pStyle w:val="ListParagraph"/>
        <w:numPr>
          <w:ilvl w:val="0"/>
          <w:numId w:val="2"/>
        </w:numPr>
      </w:pPr>
      <w:r>
        <w:t>How do we want to innovate MEP detection here.</w:t>
      </w:r>
      <w:r w:rsidR="00450935">
        <w:br/>
        <w:t xml:space="preserve">Following the recent success of deep learning an obvious question is what tasks, either currently performed manually or automatically, could be improved with deep artificial neural network. </w:t>
      </w:r>
      <w:r w:rsidR="002E49B0">
        <w:t xml:space="preserve">Here, we investigate the utility of deep learning for automated detection of MEPs. </w:t>
      </w:r>
    </w:p>
    <w:p w14:paraId="0F16065A" w14:textId="627ECE01" w:rsidR="00F36D15" w:rsidRDefault="00F36D15" w:rsidP="00F36D15">
      <w:pPr>
        <w:pStyle w:val="Heading1"/>
      </w:pPr>
      <w:r>
        <w:t>Methods</w:t>
      </w:r>
    </w:p>
    <w:p w14:paraId="35B1D6A7" w14:textId="09202277" w:rsidR="00A956BF" w:rsidRDefault="00A956BF" w:rsidP="00A956BF">
      <w:pPr>
        <w:pStyle w:val="Heading2"/>
      </w:pPr>
      <w:r>
        <w:t>Data collection</w:t>
      </w:r>
    </w:p>
    <w:p w14:paraId="30C97CCC" w14:textId="3AC1E7DB" w:rsidR="00A956BF" w:rsidRDefault="00A956BF" w:rsidP="00A956BF">
      <w:pPr>
        <w:pStyle w:val="Heading3"/>
      </w:pPr>
      <w:r>
        <w:t>Participants</w:t>
      </w:r>
    </w:p>
    <w:p w14:paraId="3BE898DF" w14:textId="740A4B69" w:rsidR="00A956BF" w:rsidRDefault="00A956BF" w:rsidP="00A956BF">
      <w:r>
        <w:t>Seven right handed (</w:t>
      </w:r>
      <w:r w:rsidRPr="00A956BF">
        <w:t>Edinburgh handedness inventory</w:t>
      </w:r>
      <w:r>
        <w:t>,</w:t>
      </w:r>
      <w:r w:rsidR="00114AA6">
        <w:t xml:space="preserve"> </w:t>
      </w:r>
      <w:r>
        <w:t xml:space="preserve"> </w:t>
      </w:r>
      <w:r w:rsidRPr="00052C27">
        <w:rPr>
          <w:color w:val="FF0000"/>
        </w:rPr>
        <w:t>\cite{</w:t>
      </w:r>
      <w:r w:rsidR="00052C27" w:rsidRPr="00052C27">
        <w:rPr>
          <w:color w:val="FF0000"/>
        </w:rPr>
        <w:t>oldfield1971</w:t>
      </w:r>
      <w:r w:rsidRPr="00052C27">
        <w:rPr>
          <w:color w:val="FF0000"/>
        </w:rPr>
        <w:t>}</w:t>
      </w:r>
      <w:r w:rsidR="00052C27">
        <w:rPr>
          <w:color w:val="FF0000"/>
        </w:rPr>
        <w:t xml:space="preserve"> </w:t>
      </w:r>
      <w:r>
        <w:t>)</w:t>
      </w:r>
      <w:r w:rsidR="00052C27">
        <w:t xml:space="preserve"> mean, </w:t>
      </w:r>
      <w:r w:rsidR="00052C27" w:rsidRPr="00052C27">
        <w:rPr>
          <w:color w:val="FF0000"/>
        </w:rPr>
        <w:t xml:space="preserve">Y </w:t>
      </w:r>
      <w:r w:rsidR="00052C27" w:rsidRPr="00052C27">
        <w:rPr>
          <w:rFonts w:cstheme="minorHAnsi"/>
          <w:color w:val="FF0000"/>
        </w:rPr>
        <w:t xml:space="preserve">± </w:t>
      </w:r>
      <w:r w:rsidR="00052C27" w:rsidRPr="00052C27">
        <w:rPr>
          <w:color w:val="FF0000"/>
        </w:rPr>
        <w:t>X</w:t>
      </w:r>
      <w:r w:rsidR="00052C27">
        <w:rPr>
          <w:color w:val="FF0000"/>
        </w:rPr>
        <w:t xml:space="preserve">, 3 </w:t>
      </w:r>
      <w:r w:rsidR="00052C27" w:rsidRPr="00052C27">
        <w:t>females</w:t>
      </w:r>
      <w:r w:rsidR="00052C27">
        <w:t>)</w:t>
      </w:r>
      <w:r>
        <w:t xml:space="preserve"> able-bodied people</w:t>
      </w:r>
      <w:r w:rsidR="00052C27">
        <w:t>, and five people with a spinal cord injury</w:t>
      </w:r>
      <w:r>
        <w:t xml:space="preserve"> participated in this study</w:t>
      </w:r>
      <w:r w:rsidR="00052C27">
        <w:t>. The demographics of the later is shown in Table 1</w:t>
      </w:r>
      <w:r>
        <w:t>.</w:t>
      </w:r>
      <w:r w:rsidR="00052C27">
        <w:t xml:space="preserve">  </w:t>
      </w:r>
      <w:r w:rsidR="00052C27" w:rsidRPr="00052C27">
        <w:t xml:space="preserve">The </w:t>
      </w:r>
      <w:r w:rsidR="00052C27">
        <w:t>participant</w:t>
      </w:r>
      <w:r w:rsidR="00052C27" w:rsidRPr="00052C27">
        <w:t xml:space="preserve"> gave their informed consents. The study was approved by the University </w:t>
      </w:r>
      <w:r w:rsidR="00052C27">
        <w:t xml:space="preserve">and NHS </w:t>
      </w:r>
      <w:r w:rsidR="00052C27" w:rsidRPr="00052C27">
        <w:t>ethics committee</w:t>
      </w:r>
      <w:r w:rsidR="00052C27">
        <w:t>.</w:t>
      </w:r>
    </w:p>
    <w:p w14:paraId="2EF23E34" w14:textId="0A9E3E70" w:rsidR="00052C27" w:rsidRDefault="00052C27" w:rsidP="00A956BF">
      <w:r w:rsidRPr="00F80500">
        <w:rPr>
          <w:b/>
          <w:bCs/>
        </w:rPr>
        <w:t>[Table 1]</w:t>
      </w:r>
      <w:r>
        <w:t xml:space="preserve"> Demographics of people with a spinal cord injury.</w:t>
      </w:r>
    </w:p>
    <w:p w14:paraId="73CE060F" w14:textId="58C5B2ED" w:rsidR="00251FDF" w:rsidRDefault="00251FDF" w:rsidP="00251FDF">
      <w:pPr>
        <w:pStyle w:val="Heading3"/>
      </w:pPr>
      <w:r>
        <w:lastRenderedPageBreak/>
        <w:t>Spinal cord stimulation</w:t>
      </w:r>
    </w:p>
    <w:p w14:paraId="14524047" w14:textId="3CFF37DD" w:rsidR="00251FDF" w:rsidRPr="00251FDF" w:rsidRDefault="009954A5" w:rsidP="00251FDF">
      <w:r>
        <w:t xml:space="preserve">Electrical stimulation was delivered using the </w:t>
      </w:r>
      <w:proofErr w:type="spellStart"/>
      <w:r>
        <w:t>Digitimer</w:t>
      </w:r>
      <w:proofErr w:type="spellEnd"/>
      <w:r>
        <w:t xml:space="preserve"> DS7. The </w:t>
      </w:r>
      <w:r w:rsidR="004D7714">
        <w:t>active electrode (</w:t>
      </w:r>
      <w:r>
        <w:t>positive</w:t>
      </w:r>
      <w:r w:rsidR="004D7714">
        <w:t>)</w:t>
      </w:r>
      <w:r>
        <w:t xml:space="preserve"> was plac</w:t>
      </w:r>
      <w:r w:rsidR="004D7714">
        <w:t xml:space="preserve">ed on the skin overlying a spinal spinus process with 3.2 </w:t>
      </w:r>
      <w:r w:rsidR="00423805">
        <w:t>cm</w:t>
      </w:r>
      <w:r w:rsidR="004D7714">
        <w:t xml:space="preserve"> round </w:t>
      </w:r>
      <w:proofErr w:type="spellStart"/>
      <w:r w:rsidR="004D7714">
        <w:t>self adhesive</w:t>
      </w:r>
      <w:proofErr w:type="spellEnd"/>
      <w:r w:rsidR="004D7714">
        <w:t xml:space="preserve"> electrode </w:t>
      </w:r>
      <w:r>
        <w:t xml:space="preserve"> with the return electrodes (negative) placed</w:t>
      </w:r>
      <w:r w:rsidR="004D7714">
        <w:t xml:space="preserve"> bilaterally</w:t>
      </w:r>
      <w:r w:rsidR="009A606D">
        <w:t>(split electrode)</w:t>
      </w:r>
      <w:r>
        <w:t xml:space="preserve"> over the </w:t>
      </w:r>
      <w:r w:rsidRPr="009954A5">
        <w:t>iliac crest</w:t>
      </w:r>
      <w:r w:rsidR="004D7714">
        <w:t xml:space="preserve"> using </w:t>
      </w:r>
      <w:r w:rsidR="00423805" w:rsidRPr="00423805">
        <w:t>5cm x 9cm</w:t>
      </w:r>
      <w:r w:rsidR="004D7714">
        <w:t xml:space="preserve"> rectangular self-adhesive electrode</w:t>
      </w:r>
      <w:r>
        <w:t xml:space="preserve">. The pulses </w:t>
      </w:r>
      <w:r w:rsidR="004D7714">
        <w:t xml:space="preserve">are rectangular, 1 </w:t>
      </w:r>
      <w:proofErr w:type="spellStart"/>
      <w:r w:rsidR="004D7714">
        <w:t>ms</w:t>
      </w:r>
      <w:proofErr w:type="spellEnd"/>
      <w:r w:rsidR="004D7714">
        <w:t xml:space="preserve"> duration, and </w:t>
      </w:r>
      <w:r>
        <w:t xml:space="preserve">arrive in pairs separated by 50 </w:t>
      </w:r>
      <w:proofErr w:type="spellStart"/>
      <w:r>
        <w:t>ms</w:t>
      </w:r>
      <w:proofErr w:type="spellEnd"/>
      <w:r>
        <w:t xml:space="preserve">, and was delivered at </w:t>
      </w:r>
      <w:r w:rsidR="009A606D">
        <w:t>most 0.5 Hz</w:t>
      </w:r>
      <w:r>
        <w:t>.</w:t>
      </w:r>
      <w:r w:rsidR="004D7714">
        <w:t xml:space="preserve"> The stimulation amplitude depended on the resting motor threshold (RMT) of the target muscle.</w:t>
      </w:r>
    </w:p>
    <w:p w14:paraId="572E9F5E" w14:textId="1F0ADFF5" w:rsidR="00251FDF" w:rsidRDefault="00251FDF" w:rsidP="00251FDF">
      <w:pPr>
        <w:pStyle w:val="Heading3"/>
      </w:pPr>
      <w:r>
        <w:t>Data recording</w:t>
      </w:r>
    </w:p>
    <w:p w14:paraId="4DFBFD3B" w14:textId="023B7A50" w:rsidR="00251FDF" w:rsidRPr="00A956BF" w:rsidRDefault="00C43490" w:rsidP="00A956BF">
      <w:r w:rsidRPr="00C43490">
        <w:t>EMG data was bilaterally acquired over the muscle bellies of</w:t>
      </w:r>
      <w:r>
        <w:t xml:space="preserve"> </w:t>
      </w:r>
      <w:r w:rsidRPr="00C43490">
        <w:t xml:space="preserve">biceps brachii (BB) , extensor </w:t>
      </w:r>
      <w:proofErr w:type="spellStart"/>
      <w:r w:rsidRPr="00C43490">
        <w:t>digitorium</w:t>
      </w:r>
      <w:proofErr w:type="spellEnd"/>
      <w:r w:rsidRPr="00C43490">
        <w:t xml:space="preserve"> communis (EDC) and flexor </w:t>
      </w:r>
      <w:proofErr w:type="spellStart"/>
      <w:r w:rsidRPr="00C43490">
        <w:t>digitorium</w:t>
      </w:r>
      <w:proofErr w:type="spellEnd"/>
      <w:r>
        <w:t xml:space="preserve"> </w:t>
      </w:r>
      <w:r w:rsidRPr="00C43490">
        <w:t xml:space="preserve">superficialis (FDS). The data was collected using the </w:t>
      </w:r>
      <w:proofErr w:type="spellStart"/>
      <w:r>
        <w:t>EPRecorder</w:t>
      </w:r>
      <w:proofErr w:type="spellEnd"/>
      <w:r w:rsidRPr="00C43490">
        <w:t xml:space="preserve"> package and the SX230 – 1000 Biometrics LTD sensor at a sample rate</w:t>
      </w:r>
      <w:r>
        <w:t xml:space="preserve"> </w:t>
      </w:r>
      <w:r w:rsidRPr="00C43490">
        <w:t xml:space="preserve">of 1000 Hz with a filter </w:t>
      </w:r>
      <w:r>
        <w:t xml:space="preserve">factory </w:t>
      </w:r>
      <w:proofErr w:type="spellStart"/>
      <w:r w:rsidRPr="00C43490">
        <w:t>preset</w:t>
      </w:r>
      <w:proofErr w:type="spellEnd"/>
      <w:r w:rsidRPr="00C43490">
        <w:t xml:space="preserve"> between 20-460 Hz.</w:t>
      </w:r>
    </w:p>
    <w:p w14:paraId="37332C51" w14:textId="6D20A2DE" w:rsidR="00A956BF" w:rsidRDefault="00A956BF" w:rsidP="00A956BF">
      <w:pPr>
        <w:pStyle w:val="Heading3"/>
      </w:pPr>
      <w:r>
        <w:t>Procedure</w:t>
      </w:r>
    </w:p>
    <w:p w14:paraId="1814FF29" w14:textId="3E82CE6A" w:rsidR="006B4400" w:rsidRPr="006B4400" w:rsidRDefault="006B4400" w:rsidP="006B4400">
      <w:r>
        <w:t>Participants were seated upright with the hands on a table, forearm pronated, and the</w:t>
      </w:r>
      <w:r w:rsidR="00251FDF">
        <w:t xml:space="preserve"> elbow at 90</w:t>
      </w:r>
      <w:r w:rsidR="00251FDF">
        <w:rPr>
          <w:vertAlign w:val="superscript"/>
        </w:rPr>
        <w:t>o</w:t>
      </w:r>
      <w:r w:rsidR="00251FDF">
        <w:t>.</w:t>
      </w:r>
      <w:r>
        <w:t xml:space="preserve"> </w:t>
      </w:r>
      <w:r w:rsidR="00251FDF">
        <w:t>Stimulation and recording electrodes were attached as indicated above. P</w:t>
      </w:r>
      <w:r w:rsidR="00251FDF" w:rsidRPr="00251FDF">
        <w:t>articipant</w:t>
      </w:r>
      <w:r w:rsidR="00251FDF">
        <w:t xml:space="preserve"> were asked to</w:t>
      </w:r>
      <w:r w:rsidR="00251FDF" w:rsidRPr="00251FDF">
        <w:t xml:space="preserve"> maintains, as close as possible, an upright torso and head position, </w:t>
      </w:r>
      <w:r w:rsidR="00251FDF">
        <w:t xml:space="preserve">during data acquisition. Stimulation was delivered over the spinal. </w:t>
      </w:r>
      <w:r w:rsidR="00251FDF" w:rsidRPr="00251FDF">
        <w:t xml:space="preserve">With the participant sitting upright with the head in the upright position, </w:t>
      </w:r>
      <w:r w:rsidR="00251FDF">
        <w:t xml:space="preserve">the spinal </w:t>
      </w:r>
      <w:r w:rsidR="00251FDF" w:rsidRPr="00251FDF">
        <w:t xml:space="preserve">levels T1, C6, C5, C4 and C3 </w:t>
      </w:r>
      <w:r w:rsidR="00251FDF">
        <w:t>were identified</w:t>
      </w:r>
      <w:r w:rsidR="00251FDF" w:rsidRPr="00251FDF">
        <w:t xml:space="preserve">. </w:t>
      </w:r>
      <w:r w:rsidR="00251FDF">
        <w:t xml:space="preserve">The location </w:t>
      </w:r>
      <w:r w:rsidR="00F44F3B">
        <w:t xml:space="preserve">of the </w:t>
      </w:r>
      <w:r w:rsidR="00251FDF" w:rsidRPr="00251FDF">
        <w:t>spinous processes,</w:t>
      </w:r>
      <w:r w:rsidR="00F44F3B" w:rsidRPr="00F44F3B">
        <w:t xml:space="preserve"> </w:t>
      </w:r>
      <w:r w:rsidR="00F44F3B" w:rsidRPr="00251FDF">
        <w:t>C3-C4, C4-C5, C5-C6,</w:t>
      </w:r>
      <w:r w:rsidR="00F44F3B">
        <w:t xml:space="preserve"> </w:t>
      </w:r>
      <w:r w:rsidR="00F44F3B" w:rsidRPr="00251FDF">
        <w:t>C6-C7</w:t>
      </w:r>
      <w:r w:rsidR="00F44F3B">
        <w:t xml:space="preserve">, and </w:t>
      </w:r>
      <w:r w:rsidR="00251FDF" w:rsidRPr="00251FDF">
        <w:t xml:space="preserve"> C7-T1</w:t>
      </w:r>
      <w:r w:rsidR="00F44F3B">
        <w:t xml:space="preserve"> were noted</w:t>
      </w:r>
      <w:r w:rsidR="00251FDF" w:rsidRPr="00251FDF">
        <w:t>.</w:t>
      </w:r>
      <w:r w:rsidR="00912854">
        <w:t xml:space="preserve"> Stimulation electrode was placed over C3-C4 to identify the RMT of the target muscle chose as the biceps brachii of the dominant hand.</w:t>
      </w:r>
      <w:r w:rsidR="00912854" w:rsidRPr="00912854">
        <w:t xml:space="preserve"> RMT </w:t>
      </w:r>
      <w:r w:rsidR="00912854">
        <w:t>was</w:t>
      </w:r>
      <w:r w:rsidR="00912854" w:rsidRPr="00912854">
        <w:t xml:space="preserve"> defined as the lowest</w:t>
      </w:r>
      <w:r w:rsidR="000A6A10">
        <w:t xml:space="preserve"> stimulus</w:t>
      </w:r>
      <w:r w:rsidR="00912854" w:rsidRPr="00912854">
        <w:t xml:space="preserve"> intensity that elicited </w:t>
      </w:r>
      <w:proofErr w:type="spellStart"/>
      <w:r w:rsidR="00912854" w:rsidRPr="00912854">
        <w:t>sMEPs</w:t>
      </w:r>
      <w:proofErr w:type="spellEnd"/>
      <w:r w:rsidR="00912854" w:rsidRPr="00912854">
        <w:t xml:space="preserve"> of ≥50 </w:t>
      </w:r>
      <w:proofErr w:type="spellStart"/>
      <w:r w:rsidR="00912854" w:rsidRPr="00912854">
        <w:t>μV</w:t>
      </w:r>
      <w:proofErr w:type="spellEnd"/>
      <w:r w:rsidR="00912854" w:rsidRPr="00912854">
        <w:t xml:space="preserve"> peak-to-peak amplitude at the target muscle in at least 5 out of 10 consecutive trials</w:t>
      </w:r>
      <w:r w:rsidR="00912854">
        <w:t xml:space="preserve"> .</w:t>
      </w:r>
      <w:r w:rsidR="00F44F3B">
        <w:t xml:space="preserve"> Starting from C3-C4</w:t>
      </w:r>
      <w:r w:rsidR="00A80101">
        <w:t>, through to C7-T1</w:t>
      </w:r>
      <w:r w:rsidR="00F44F3B">
        <w:t>, paired-pulse electrical stimulation was delivered</w:t>
      </w:r>
      <w:r w:rsidR="00A80101">
        <w:t xml:space="preserve"> at</w:t>
      </w:r>
      <w:r w:rsidR="00F44F3B">
        <w:t xml:space="preserve"> intensity </w:t>
      </w:r>
      <w:r w:rsidR="00A80101">
        <w:t xml:space="preserve">range </w:t>
      </w:r>
      <w:r w:rsidR="00F44F3B">
        <w:t>of 20%-160% of the RMT of the target muscle</w:t>
      </w:r>
      <w:r w:rsidR="00A80101">
        <w:t xml:space="preserve"> at 10% interval(3 stimuli at each intensity)</w:t>
      </w:r>
      <w:r w:rsidR="00F44F3B">
        <w:t xml:space="preserve">.  </w:t>
      </w:r>
      <w:r w:rsidR="0044237E">
        <w:t>During the stimulation, EMG data were recorded and saved.</w:t>
      </w:r>
    </w:p>
    <w:p w14:paraId="7ECB349E" w14:textId="3F3CA9F6" w:rsidR="00A956BF" w:rsidRDefault="00EC5E7B" w:rsidP="00EC5E7B">
      <w:pPr>
        <w:pStyle w:val="Heading2"/>
      </w:pPr>
      <w:r>
        <w:t xml:space="preserve">Data </w:t>
      </w:r>
      <w:r w:rsidR="009A606D">
        <w:t>analysis</w:t>
      </w:r>
      <w:r>
        <w:t xml:space="preserve"> </w:t>
      </w:r>
    </w:p>
    <w:p w14:paraId="47328269" w14:textId="34C57561" w:rsidR="00EC5E7B" w:rsidRDefault="00EC5E7B" w:rsidP="00EC5E7B">
      <w:pPr>
        <w:pStyle w:val="Heading3"/>
      </w:pPr>
      <w:r>
        <w:t>Data pre-processing and labelling.</w:t>
      </w:r>
    </w:p>
    <w:p w14:paraId="597936FC" w14:textId="20680C25" w:rsidR="00EC5E7B" w:rsidRDefault="007953C0" w:rsidP="00EC5E7B">
      <w:r>
        <w:t>Data pre</w:t>
      </w:r>
      <w:r w:rsidR="007D2B1E">
        <w:t>-</w:t>
      </w:r>
      <w:r>
        <w:t xml:space="preserve">processing was conducted using the </w:t>
      </w:r>
      <w:proofErr w:type="spellStart"/>
      <w:r>
        <w:t>EPRecorder</w:t>
      </w:r>
      <w:proofErr w:type="spellEnd"/>
      <w:r>
        <w:t xml:space="preserve"> which allowed visualisation, cleaning, </w:t>
      </w:r>
      <w:proofErr w:type="spellStart"/>
      <w:r>
        <w:t>epoching</w:t>
      </w:r>
      <w:proofErr w:type="spellEnd"/>
      <w:r>
        <w:t>,</w:t>
      </w:r>
      <w:r w:rsidR="007D2B1E">
        <w:t xml:space="preserve"> labelling etc.</w:t>
      </w:r>
      <w:r>
        <w:t xml:space="preserve"> </w:t>
      </w:r>
      <w:r w:rsidR="007D2B1E">
        <w:t>The data labelling functionality was specifically developed for this project.</w:t>
      </w:r>
      <w:r w:rsidR="00C670FB">
        <w:t xml:space="preserve"> Each recoded dataset was </w:t>
      </w:r>
      <w:proofErr w:type="spellStart"/>
      <w:r w:rsidR="00C670FB">
        <w:t>epoched</w:t>
      </w:r>
      <w:proofErr w:type="spellEnd"/>
      <w:r w:rsidR="00C670FB">
        <w:t xml:space="preserve"> and each epoch was visual inspected and rejected if noisy. Data epochs were also rejected if they have excessive background activity determined by comparing the statistical properties of the </w:t>
      </w:r>
      <w:proofErr w:type="spellStart"/>
      <w:r w:rsidR="00C670FB">
        <w:t>prestimulus</w:t>
      </w:r>
      <w:proofErr w:type="spellEnd"/>
      <w:r w:rsidR="00C670FB">
        <w:t xml:space="preserve"> against post stimulus data. </w:t>
      </w:r>
      <w:r w:rsidR="007925A5">
        <w:t>Specifically</w:t>
      </w:r>
      <w:r w:rsidR="00C670FB">
        <w:t xml:space="preserve">, using </w:t>
      </w:r>
      <w:proofErr w:type="spellStart"/>
      <w:r w:rsidR="00C670FB">
        <w:t>EPRecorder</w:t>
      </w:r>
      <w:proofErr w:type="spellEnd"/>
      <w:r w:rsidR="00C670FB">
        <w:t xml:space="preserve">, an epoch was rejected if its </w:t>
      </w:r>
      <w:r w:rsidR="007925A5">
        <w:t xml:space="preserve">mean </w:t>
      </w:r>
      <w:r w:rsidR="00C670FB">
        <w:t>post stimulus activities is not sig</w:t>
      </w:r>
      <w:r w:rsidR="007925A5">
        <w:t>nificantly higher than that of the</w:t>
      </w:r>
      <w:r w:rsidR="00C670FB">
        <w:t xml:space="preserve"> </w:t>
      </w:r>
      <w:proofErr w:type="spellStart"/>
      <w:r w:rsidR="00C670FB">
        <w:t>prestimulus</w:t>
      </w:r>
      <w:proofErr w:type="spellEnd"/>
      <w:r w:rsidR="00C670FB">
        <w:t xml:space="preserve"> activities (100 </w:t>
      </w:r>
      <w:proofErr w:type="spellStart"/>
      <w:r w:rsidR="00C670FB">
        <w:t>ms</w:t>
      </w:r>
      <w:proofErr w:type="spellEnd"/>
      <w:r w:rsidR="00C670FB">
        <w:t xml:space="preserve"> pre stimulus)</w:t>
      </w:r>
      <w:r w:rsidR="007925A5">
        <w:t>. The cleaned data was labelled to indicate a maximum of three components comprising: {background: [1 0 0], stimulus artefact: [0 1 0], response: [0 0 1] }. Figure  #FIG-LABELLING shows examples of the epochs encountered and their la</w:t>
      </w:r>
      <w:r w:rsidR="00100E3A">
        <w:t>bels visually</w:t>
      </w:r>
      <w:r w:rsidR="007925A5">
        <w:t xml:space="preserve">. </w:t>
      </w:r>
      <w:r w:rsidR="00100E3A">
        <w:t>The labelled da</w:t>
      </w:r>
      <w:r w:rsidR="00F769DE">
        <w:t>t</w:t>
      </w:r>
      <w:r w:rsidR="00100E3A">
        <w:t>a was exported by concatenating all epochs and channels</w:t>
      </w:r>
      <w:r w:rsidR="00F769DE">
        <w:t xml:space="preserve"> from each recorded dataset to obtain a column vector with accompanying three further columns indicating the labels for each sample.</w:t>
      </w:r>
      <w:r w:rsidR="007925A5">
        <w:t xml:space="preserve"> </w:t>
      </w:r>
      <w:r w:rsidR="007D2B1E">
        <w:t xml:space="preserve"> </w:t>
      </w:r>
    </w:p>
    <w:p w14:paraId="52A6A734" w14:textId="4090399E" w:rsidR="00597FFC" w:rsidRDefault="00597FFC" w:rsidP="00EC5E7B">
      <w:r>
        <w:t>[</w:t>
      </w:r>
      <w:r w:rsidR="00F311A3">
        <w:t xml:space="preserve">       </w:t>
      </w:r>
      <w:r>
        <w:t>]</w:t>
      </w:r>
    </w:p>
    <w:p w14:paraId="56B1EC9B" w14:textId="596171C3" w:rsidR="00597FFC" w:rsidRPr="00EC5E7B" w:rsidRDefault="00597FFC" w:rsidP="00EC5E7B">
      <w:r>
        <w:t>Fig #FIG-LABELLING: Examples epochs and their</w:t>
      </w:r>
      <w:r w:rsidR="00B23468">
        <w:t xml:space="preserve"> example</w:t>
      </w:r>
      <w:r>
        <w:t xml:space="preserve"> labels.</w:t>
      </w:r>
    </w:p>
    <w:p w14:paraId="7CCE302F" w14:textId="6C57D23C" w:rsidR="000841E7" w:rsidRDefault="000841E7" w:rsidP="008818A5">
      <w:r w:rsidRPr="00EC5E7B">
        <w:rPr>
          <w:rStyle w:val="Heading3Char"/>
        </w:rPr>
        <w:t xml:space="preserve">Neural network </w:t>
      </w:r>
      <w:r w:rsidR="00EC5E7B">
        <w:rPr>
          <w:rStyle w:val="Heading3Char"/>
        </w:rPr>
        <w:t>a</w:t>
      </w:r>
      <w:r w:rsidRPr="00EC5E7B">
        <w:rPr>
          <w:rStyle w:val="Heading3Char"/>
        </w:rPr>
        <w:t>rchitecture</w:t>
      </w:r>
      <w:r w:rsidR="006021F0">
        <w:br/>
        <w:t>Given the different temporal characteristics and mo</w:t>
      </w:r>
      <w:r w:rsidR="007C72AF">
        <w:t>r</w:t>
      </w:r>
      <w:r w:rsidR="006021F0">
        <w:t>phologies of MEP, a generalised detector must be capable recognising the wave</w:t>
      </w:r>
      <w:r w:rsidR="006021F0" w:rsidRPr="006021F0">
        <w:t xml:space="preserve"> regardless</w:t>
      </w:r>
      <w:r w:rsidR="006021F0">
        <w:t xml:space="preserve"> of its, 1) </w:t>
      </w:r>
      <w:r w:rsidR="00DD61E1">
        <w:t>latency</w:t>
      </w:r>
      <w:r w:rsidR="006021F0">
        <w:t xml:space="preserve">, 2) polarity, </w:t>
      </w:r>
      <w:r w:rsidR="00B106ED">
        <w:t xml:space="preserve">3) morphology, 4) </w:t>
      </w:r>
      <w:r w:rsidR="00B106ED">
        <w:lastRenderedPageBreak/>
        <w:t xml:space="preserve">amplitude, </w:t>
      </w:r>
      <w:r w:rsidR="006021F0">
        <w:t xml:space="preserve">and </w:t>
      </w:r>
      <w:r w:rsidR="00B106ED">
        <w:t>5</w:t>
      </w:r>
      <w:r w:rsidR="006021F0">
        <w:t>) time width</w:t>
      </w:r>
      <w:r w:rsidR="006021F0" w:rsidRPr="006021F0">
        <w:t>.</w:t>
      </w:r>
      <w:r w:rsidR="00B106ED">
        <w:t xml:space="preserve"> This is a task suited to a </w:t>
      </w:r>
      <w:r w:rsidR="00A778A7">
        <w:t>convolutional neural networks (</w:t>
      </w:r>
      <w:r w:rsidR="00B106ED">
        <w:t>CNNs</w:t>
      </w:r>
      <w:r w:rsidR="00A778A7">
        <w:t>)</w:t>
      </w:r>
      <w:r w:rsidR="00B106ED">
        <w:t xml:space="preserve"> due to their translation, scale and rotation invariance properties.</w:t>
      </w:r>
      <w:r w:rsidR="0081605D">
        <w:t xml:space="preserve"> This implies that, e.g. if an MEP wave and its time-shifted version are each fed to a CNN, both will equally be recognised.</w:t>
      </w:r>
      <w:r w:rsidR="00B358C8">
        <w:t xml:space="preserve"> Another type of layer that may be applicable is</w:t>
      </w:r>
      <w:r w:rsidR="00B358C8" w:rsidRPr="00B358C8">
        <w:t xml:space="preserve"> Long Short-Term Memory (LSTM)</w:t>
      </w:r>
      <w:r w:rsidR="00B358C8">
        <w:t>. LSTMs are well-suited to capture</w:t>
      </w:r>
      <w:r w:rsidR="008818A5">
        <w:t xml:space="preserve"> dependent</w:t>
      </w:r>
      <w:r w:rsidR="00B358C8">
        <w:t xml:space="preserve"> sequential information</w:t>
      </w:r>
      <w:r w:rsidR="009C399D">
        <w:t xml:space="preserve"> such as morphology, and their temporal dynamics </w:t>
      </w:r>
      <w:r w:rsidR="00B358C8">
        <w:t>over several time steps.</w:t>
      </w:r>
      <w:r w:rsidR="006021F0">
        <w:br/>
      </w:r>
      <w:r w:rsidR="00E458AD">
        <w:br/>
        <w:t>Various architecture</w:t>
      </w:r>
      <w:r w:rsidR="00E01231">
        <w:t>s were</w:t>
      </w:r>
      <w:r w:rsidR="00E458AD">
        <w:t xml:space="preserve"> investigated including a U-net-like setup that </w:t>
      </w:r>
      <w:proofErr w:type="spellStart"/>
      <w:r w:rsidR="00E458AD">
        <w:t>downsample</w:t>
      </w:r>
      <w:r w:rsidR="00665175">
        <w:t>s</w:t>
      </w:r>
      <w:proofErr w:type="spellEnd"/>
      <w:r w:rsidR="00E458AD">
        <w:t xml:space="preserve"> and then </w:t>
      </w:r>
      <w:proofErr w:type="spellStart"/>
      <w:r w:rsidR="00E458AD">
        <w:t>upsample</w:t>
      </w:r>
      <w:r w:rsidR="00665175">
        <w:t>s</w:t>
      </w:r>
      <w:proofErr w:type="spellEnd"/>
      <w:r w:rsidR="00E458AD">
        <w:t xml:space="preserve"> input feature along the time axis w</w:t>
      </w:r>
      <w:r w:rsidR="00665175">
        <w:t xml:space="preserve">ith the </w:t>
      </w:r>
      <w:r w:rsidR="00E458AD">
        <w:t>opposite effect along the feature axis.</w:t>
      </w:r>
      <w:r w:rsidR="00665175">
        <w:t xml:space="preserve"> </w:t>
      </w:r>
      <w:r w:rsidR="00B90E8C">
        <w:t xml:space="preserve">To investigate an architecture, the data available for training was split into a training set and a validation set. The ratio of the split was 80%:20% respectively. </w:t>
      </w:r>
      <w:r w:rsidR="00845029">
        <w:t>These dataset were used to train each architecture with sufficient epochs to cause overfitting. Using this method i</w:t>
      </w:r>
      <w:r w:rsidR="00665175">
        <w:t xml:space="preserve">t was </w:t>
      </w:r>
      <w:r w:rsidR="00B106ED">
        <w:t>confirmed</w:t>
      </w:r>
      <w:r w:rsidR="00665175">
        <w:t xml:space="preserve"> that</w:t>
      </w:r>
      <w:r w:rsidR="00167BE1">
        <w:t xml:space="preserve"> 1D</w:t>
      </w:r>
      <w:r w:rsidR="00665175">
        <w:t xml:space="preserve"> CNN layer</w:t>
      </w:r>
      <w:r w:rsidR="00B358C8">
        <w:t>s</w:t>
      </w:r>
      <w:r w:rsidR="00665175">
        <w:t xml:space="preserve"> connected to an </w:t>
      </w:r>
      <w:r w:rsidR="00A778A7" w:rsidRPr="00A778A7">
        <w:t>LSTM layer</w:t>
      </w:r>
      <w:r w:rsidR="00665175">
        <w:t xml:space="preserve"> lead to sufficient </w:t>
      </w:r>
      <w:r w:rsidR="00845029">
        <w:t xml:space="preserve">network </w:t>
      </w:r>
      <w:r w:rsidR="00665175">
        <w:t>learning</w:t>
      </w:r>
      <w:r w:rsidR="00167BE1">
        <w:t xml:space="preserve"> of the dataset features</w:t>
      </w:r>
      <w:r w:rsidR="00665175">
        <w:t xml:space="preserve">. </w:t>
      </w:r>
      <w:r w:rsidR="00167BE1">
        <w:t xml:space="preserve">Various configurations of these two layers were further investigated. The chosen architecture based </w:t>
      </w:r>
      <w:r w:rsidR="00845029">
        <w:t>primarily</w:t>
      </w:r>
      <w:r w:rsidR="00167BE1">
        <w:t xml:space="preserve"> on the network </w:t>
      </w:r>
      <w:r w:rsidR="00B90E8C">
        <w:t xml:space="preserve">capacity and capability to overfit the training dataset is shown Figure </w:t>
      </w:r>
      <w:r w:rsidR="006A46E7">
        <w:t>Y</w:t>
      </w:r>
      <w:r w:rsidR="00B90E8C">
        <w:t>.</w:t>
      </w:r>
    </w:p>
    <w:p w14:paraId="6E43397F" w14:textId="723B4FCB" w:rsidR="00E01231" w:rsidRDefault="00E01231" w:rsidP="008818A5">
      <w:r>
        <w:t>[</w:t>
      </w:r>
      <w:r w:rsidR="003F617E">
        <w:t xml:space="preserve">               ]</w:t>
      </w:r>
      <w:r w:rsidR="003F617E">
        <w:br/>
      </w:r>
      <w:r>
        <w:t xml:space="preserve">Figure </w:t>
      </w:r>
      <w:r w:rsidR="006A46E7">
        <w:t>Y</w:t>
      </w:r>
      <w:r w:rsidR="003F617E">
        <w:t>. Neural network architecture.</w:t>
      </w:r>
    </w:p>
    <w:p w14:paraId="3E64D968" w14:textId="320EEEE3" w:rsidR="005669AD" w:rsidRDefault="00B90E8C" w:rsidP="008818A5">
      <w:r w:rsidRPr="00EC5E7B">
        <w:rPr>
          <w:rStyle w:val="Heading3Char"/>
        </w:rPr>
        <w:t>Final t</w:t>
      </w:r>
      <w:r w:rsidR="000841E7" w:rsidRPr="00EC5E7B">
        <w:rPr>
          <w:rStyle w:val="Heading3Char"/>
        </w:rPr>
        <w:t>raining and testing</w:t>
      </w:r>
      <w:r>
        <w:br/>
      </w:r>
      <w:r w:rsidR="00D76C9E">
        <w:t xml:space="preserve">The architecture shown in Figure </w:t>
      </w:r>
      <w:r w:rsidR="006A46E7">
        <w:t>Y</w:t>
      </w:r>
      <w:r w:rsidR="00D76C9E">
        <w:t xml:space="preserve"> was trained for the final time by re-combining the training set and the validation set. The network was training until it overfitted the dataset with a </w:t>
      </w:r>
      <w:proofErr w:type="spellStart"/>
      <w:r w:rsidR="00D76C9E">
        <w:t>callback</w:t>
      </w:r>
      <w:proofErr w:type="spellEnd"/>
      <w:r w:rsidR="00D76C9E">
        <w:t xml:space="preserve"> on model checkpoint used to capture the best model.</w:t>
      </w:r>
      <w:r w:rsidR="00C9002F">
        <w:t xml:space="preserve"> The best model was used to perform inference on the testing dataset.</w:t>
      </w:r>
    </w:p>
    <w:p w14:paraId="2498708A" w14:textId="6A178605" w:rsidR="000841E7" w:rsidRDefault="008818A5" w:rsidP="00EC5E7B">
      <w:pPr>
        <w:pStyle w:val="Heading3"/>
      </w:pPr>
      <w:r>
        <w:t>Deployment</w:t>
      </w:r>
      <w:r w:rsidR="000346EA" w:rsidRPr="000346EA">
        <w:t xml:space="preserve"> </w:t>
      </w:r>
      <w:r w:rsidR="000346EA">
        <w:t>and comparison with</w:t>
      </w:r>
      <w:r w:rsidR="004333C6">
        <w:t xml:space="preserve"> </w:t>
      </w:r>
      <w:r w:rsidR="006C62AF">
        <w:t>standard</w:t>
      </w:r>
      <w:r w:rsidR="000346EA">
        <w:t xml:space="preserve"> detection method</w:t>
      </w:r>
    </w:p>
    <w:p w14:paraId="4C3B0924" w14:textId="78D80193" w:rsidR="005669AD" w:rsidRDefault="00E01231" w:rsidP="000346EA">
      <w:r>
        <w:t xml:space="preserve">The final classifier model was deployed for an end-user using </w:t>
      </w:r>
      <w:proofErr w:type="spellStart"/>
      <w:r>
        <w:t>EPRecorder</w:t>
      </w:r>
      <w:proofErr w:type="spellEnd"/>
      <w:r>
        <w:t xml:space="preserve">. This is to showcase the practicality of the developed model. Custom made scripts were used to export the model to MATLAB environment. </w:t>
      </w:r>
      <w:r w:rsidR="00B23468">
        <w:t xml:space="preserve">Due technical issues on importing 1D input models built with latest </w:t>
      </w:r>
      <w:proofErr w:type="spellStart"/>
      <w:r w:rsidR="00B23468">
        <w:t>Keras</w:t>
      </w:r>
      <w:proofErr w:type="spellEnd"/>
      <w:r w:rsidR="00B23468">
        <w:t xml:space="preserve"> version into </w:t>
      </w:r>
      <w:r>
        <w:t>MATLAB</w:t>
      </w:r>
      <w:r w:rsidR="001B5257">
        <w:t>, the</w:t>
      </w:r>
      <w:r>
        <w:t xml:space="preserve"> forward</w:t>
      </w:r>
      <w:r w:rsidR="001B5257">
        <w:t xml:space="preserve"> pass for 1D CNN, LSTM,</w:t>
      </w:r>
      <w:r>
        <w:t xml:space="preserve"> </w:t>
      </w:r>
      <w:r w:rsidR="001B5257">
        <w:t>Dense, and other necessary layers were custom written to allow frictionless deployment within the environment.</w:t>
      </w:r>
      <w:r w:rsidR="000346EA">
        <w:t xml:space="preserve"> The deployment allowed automated delineation of MEPs on that loaded in </w:t>
      </w:r>
      <w:proofErr w:type="spellStart"/>
      <w:r w:rsidR="000346EA">
        <w:t>EPRecorder</w:t>
      </w:r>
      <w:proofErr w:type="spellEnd"/>
      <w:r w:rsidR="00D71193">
        <w:t>. To do this, the output of the classifier is post-processed as follows ….</w:t>
      </w:r>
    </w:p>
    <w:p w14:paraId="70E9C0A3" w14:textId="5E8C78DD" w:rsidR="000346EA" w:rsidRDefault="000346EA" w:rsidP="000346EA">
      <w:r>
        <w:t xml:space="preserve">For comparison, a changepoint MEP detection method was also implemented in </w:t>
      </w:r>
      <w:proofErr w:type="spellStart"/>
      <w:r>
        <w:t>EPRecorder</w:t>
      </w:r>
      <w:proofErr w:type="spellEnd"/>
      <w:r>
        <w:t xml:space="preserve">. The changepoint algorithm works as follows. </w:t>
      </w:r>
      <w:r w:rsidR="00B75957">
        <w:t>The area per sample and peak-to-peak of the pre</w:t>
      </w:r>
      <w:r w:rsidR="008D085C">
        <w:t>-</w:t>
      </w:r>
      <w:r w:rsidR="00B75957">
        <w:t>stimulus (baseline)</w:t>
      </w:r>
      <w:r w:rsidR="00573F3B">
        <w:t xml:space="preserve"> of all included epochs are computed</w:t>
      </w:r>
      <w:r w:rsidR="008E7F9D">
        <w:t xml:space="preserve"> as features. For each of the features, a 95% confidence interval are constructed and scaled</w:t>
      </w:r>
      <w:r w:rsidR="00573F3B">
        <w:t xml:space="preserve">. The first and the last changepoints of the epochs are determined within post-stimulus signal. The first changepoint is taken as the possible start of a response while the last changepoint is taken as the possible stop of the response. The epoch signal between the start and stop is the possible response region. For each epoch, </w:t>
      </w:r>
      <w:proofErr w:type="spellStart"/>
      <w:r w:rsidR="00573F3B">
        <w:t>the</w:t>
      </w:r>
      <w:proofErr w:type="spellEnd"/>
      <w:r w:rsidR="00573F3B">
        <w:t xml:space="preserve"> are per sample and peak-to-peak of the possible response region.</w:t>
      </w:r>
      <w:r w:rsidR="00D82A33">
        <w:t xml:space="preserve"> A response is detected for an epoch if the following criteria are satisfied: a) the area per sample and peak-to-peak of the possible response region of the epoch is greater than the upper-limit of a scaled 95% confidence interval which was computed using the pre-stimulus data, b) the peak-to-peak amplitude is greater than 0.05 mV.</w:t>
      </w:r>
    </w:p>
    <w:p w14:paraId="50290020" w14:textId="4E76AF9E" w:rsidR="00E56035" w:rsidRPr="00E56035" w:rsidRDefault="000346EA" w:rsidP="00E56035">
      <w:r>
        <w:t>Spinally evoked MEP data acquired from people with spinal cord injury (SCI)</w:t>
      </w:r>
      <w:r w:rsidR="00B75957">
        <w:t xml:space="preserve"> loaded</w:t>
      </w:r>
      <w:r>
        <w:t xml:space="preserve"> were used </w:t>
      </w:r>
      <w:r w:rsidR="00B75957">
        <w:t>to compare the performance of the developed model and the changepoint MEP detection method.</w:t>
      </w:r>
    </w:p>
    <w:p w14:paraId="1E23D810" w14:textId="4CE0AACB" w:rsidR="00F227D4" w:rsidRDefault="00F36D15" w:rsidP="00F227D4">
      <w:pPr>
        <w:pStyle w:val="Heading1"/>
      </w:pPr>
      <w:r>
        <w:lastRenderedPageBreak/>
        <w:t>Results</w:t>
      </w:r>
      <w:r w:rsidR="005669AD" w:rsidRPr="005669AD">
        <w:t xml:space="preserve"> </w:t>
      </w:r>
      <w:r w:rsidR="005669AD">
        <w:t>and discussions</w:t>
      </w:r>
    </w:p>
    <w:p w14:paraId="62051AB1" w14:textId="25D779AD" w:rsidR="000C4B0C" w:rsidRDefault="000C4B0C" w:rsidP="000C4B0C">
      <w:pPr>
        <w:pStyle w:val="Heading2"/>
      </w:pPr>
      <w:r>
        <w:t>Data characteristics</w:t>
      </w:r>
    </w:p>
    <w:p w14:paraId="5055912B" w14:textId="5960397C" w:rsidR="000C4B0C" w:rsidRPr="000C4B0C" w:rsidRDefault="000C4B0C" w:rsidP="000C4B0C">
      <w:r w:rsidRPr="006C62AF">
        <w:t xml:space="preserve">Recorded responses have a mean of </w:t>
      </w:r>
      <w:r w:rsidRPr="009439EC">
        <w:rPr>
          <w:color w:val="FF0000"/>
        </w:rPr>
        <w:t xml:space="preserve">X±Y mV </w:t>
      </w:r>
      <w:r w:rsidRPr="006C62AF">
        <w:t xml:space="preserve">peak-to-peak amplitude, </w:t>
      </w:r>
      <w:proofErr w:type="spellStart"/>
      <w:r w:rsidRPr="009439EC">
        <w:rPr>
          <w:color w:val="FF0000"/>
        </w:rPr>
        <w:t>x±y</w:t>
      </w:r>
      <w:proofErr w:type="spellEnd"/>
      <w:r w:rsidRPr="009439EC">
        <w:rPr>
          <w:color w:val="FF0000"/>
        </w:rPr>
        <w:t xml:space="preserve"> </w:t>
      </w:r>
      <w:r w:rsidRPr="006C62AF">
        <w:t xml:space="preserve">mV </w:t>
      </w:r>
      <w:proofErr w:type="spellStart"/>
      <w:r w:rsidRPr="006C62AF">
        <w:t>ms</w:t>
      </w:r>
      <w:proofErr w:type="spellEnd"/>
      <w:r w:rsidRPr="006C62AF">
        <w:t xml:space="preserve"> area, and </w:t>
      </w:r>
      <w:proofErr w:type="spellStart"/>
      <w:r w:rsidRPr="009439EC">
        <w:rPr>
          <w:color w:val="FF0000"/>
        </w:rPr>
        <w:t>x±y</w:t>
      </w:r>
      <w:proofErr w:type="spellEnd"/>
      <w:r w:rsidRPr="006C62AF">
        <w:t xml:space="preserve"> seconds width, according to the labels.</w:t>
      </w:r>
      <w:r w:rsidR="004651EA">
        <w:t xml:space="preserve"> The total training and validation data had </w:t>
      </w:r>
      <w:r w:rsidR="004651EA" w:rsidRPr="004651EA">
        <w:rPr>
          <w:color w:val="FF0000"/>
        </w:rPr>
        <w:t>XX</w:t>
      </w:r>
      <w:r w:rsidR="004651EA">
        <w:t xml:space="preserve"> samples amounting </w:t>
      </w:r>
      <w:r w:rsidR="004651EA" w:rsidRPr="004651EA">
        <w:rPr>
          <w:color w:val="FF0000"/>
        </w:rPr>
        <w:t>YY</w:t>
      </w:r>
      <w:r w:rsidR="004651EA">
        <w:t xml:space="preserve"> minutes of data. There was </w:t>
      </w:r>
      <w:r w:rsidR="004651EA" w:rsidRPr="004651EA">
        <w:rPr>
          <w:color w:val="FF0000"/>
        </w:rPr>
        <w:t>XX, YY</w:t>
      </w:r>
      <w:r w:rsidR="004651EA" w:rsidRPr="004651EA">
        <w:t xml:space="preserve"> and </w:t>
      </w:r>
      <w:r w:rsidR="004651EA" w:rsidRPr="004651EA">
        <w:rPr>
          <w:color w:val="FF0000"/>
        </w:rPr>
        <w:t xml:space="preserve">ZZ </w:t>
      </w:r>
      <w:r w:rsidR="004651EA">
        <w:t xml:space="preserve">minutes of data for the </w:t>
      </w:r>
      <w:r w:rsidR="004651EA" w:rsidRPr="004651EA">
        <w:rPr>
          <w:i/>
          <w:iCs/>
        </w:rPr>
        <w:t>background</w:t>
      </w:r>
      <w:r w:rsidR="004651EA">
        <w:t xml:space="preserve">, </w:t>
      </w:r>
      <w:r w:rsidR="004651EA" w:rsidRPr="004651EA">
        <w:rPr>
          <w:i/>
          <w:iCs/>
        </w:rPr>
        <w:t>stimulus artefact</w:t>
      </w:r>
      <w:r w:rsidR="004651EA">
        <w:t xml:space="preserve">, and </w:t>
      </w:r>
      <w:r w:rsidR="004651EA" w:rsidRPr="004651EA">
        <w:rPr>
          <w:i/>
          <w:iCs/>
        </w:rPr>
        <w:t>response</w:t>
      </w:r>
      <w:r w:rsidR="004651EA">
        <w:t xml:space="preserve"> labels respectively.</w:t>
      </w:r>
    </w:p>
    <w:p w14:paraId="7FE380B5" w14:textId="4AF21949" w:rsidR="00F227D4" w:rsidRDefault="005669AD" w:rsidP="00892C13">
      <w:pPr>
        <w:pStyle w:val="Heading2"/>
      </w:pPr>
      <w:r>
        <w:t xml:space="preserve">Training and testing </w:t>
      </w:r>
    </w:p>
    <w:p w14:paraId="44C0D8C4" w14:textId="4325076F" w:rsidR="00296297" w:rsidRPr="00296297" w:rsidRDefault="00296297" w:rsidP="00296297">
      <w:r>
        <w:t xml:space="preserve">The result of cross validation is shown in </w:t>
      </w:r>
      <w:r w:rsidRPr="00296297">
        <w:rPr>
          <w:b/>
          <w:bCs/>
        </w:rPr>
        <w:t>Table #ACCU-CROSS-VAL</w:t>
      </w:r>
      <w:r>
        <w:t>. The average training and testing accuracies are 90.0</w:t>
      </w:r>
      <w:r>
        <w:rPr>
          <w:rFonts w:cstheme="minorHAnsi"/>
        </w:rPr>
        <w:t>±</w:t>
      </w:r>
      <w:r>
        <w:t>0.7 and 82.6</w:t>
      </w:r>
      <w:r>
        <w:rPr>
          <w:rFonts w:cstheme="minorHAnsi"/>
        </w:rPr>
        <w:t>±</w:t>
      </w:r>
      <w:r>
        <w:t xml:space="preserve">3.4 respectively. These </w:t>
      </w:r>
      <w:r w:rsidR="00010186">
        <w:t>results</w:t>
      </w:r>
      <w:r>
        <w:t xml:space="preserve"> may no</w:t>
      </w:r>
      <w:r w:rsidR="00010186">
        <w:t>t</w:t>
      </w:r>
      <w:r>
        <w:t xml:space="preserve"> reflect the true power of the classifier in practice</w:t>
      </w:r>
      <w:r w:rsidR="00010186">
        <w:t xml:space="preserve"> given that they are based on identification  of individual sample in the datasets.</w:t>
      </w:r>
      <w:r w:rsidR="00D71193">
        <w:t xml:space="preserve"> In practice t</w:t>
      </w:r>
      <w:r w:rsidR="00D71193">
        <w:t>he interest is the specific</w:t>
      </w:r>
      <w:r w:rsidR="00D71193">
        <w:t xml:space="preserve"> smoothed</w:t>
      </w:r>
      <w:r w:rsidR="00D71193">
        <w:t xml:space="preserve"> accuracy for the responses an</w:t>
      </w:r>
      <w:r w:rsidR="00D71193">
        <w:t>d</w:t>
      </w:r>
      <w:r w:rsidR="00D71193">
        <w:t xml:space="preserve"> not </w:t>
      </w:r>
      <w:r w:rsidR="00D71193">
        <w:t>e.g.</w:t>
      </w:r>
      <w:r w:rsidR="00D71193">
        <w:t xml:space="preserve"> the </w:t>
      </w:r>
      <w:r w:rsidR="00D71193">
        <w:t xml:space="preserve">sample-sample accuracy for stimulus </w:t>
      </w:r>
      <w:r w:rsidR="00D71193">
        <w:t>artifacts.</w:t>
      </w:r>
      <w:r w:rsidR="00010186">
        <w:t xml:space="preserve"> </w:t>
      </w:r>
      <w:r w:rsidR="00AC56D5">
        <w:t>Therefore i</w:t>
      </w:r>
      <w:r w:rsidR="00010186">
        <w:t>n practice the classifier output</w:t>
      </w:r>
      <w:r w:rsidR="00AC56D5">
        <w:t xml:space="preserve"> was</w:t>
      </w:r>
      <w:r w:rsidR="00010186">
        <w:t xml:space="preserve"> post</w:t>
      </w:r>
      <w:r w:rsidR="00AC56D5">
        <w:t>-</w:t>
      </w:r>
      <w:r w:rsidR="00010186">
        <w:t>process</w:t>
      </w:r>
      <w:r w:rsidR="00AC56D5">
        <w:t>ed</w:t>
      </w:r>
      <w:r w:rsidR="00010186">
        <w:t xml:space="preserve"> to</w:t>
      </w:r>
      <w:r w:rsidR="00AC56D5">
        <w:t xml:space="preserve"> consider only the response classification with the</w:t>
      </w:r>
      <w:r w:rsidR="00010186">
        <w:t xml:space="preserve"> transient scores </w:t>
      </w:r>
      <w:r w:rsidR="00AC56D5">
        <w:t xml:space="preserve">smoothed </w:t>
      </w:r>
      <w:r w:rsidR="00010186">
        <w:t>across samples</w:t>
      </w:r>
      <w:r w:rsidR="0052715B">
        <w:t xml:space="preserve"> which may lead to more or less power for the classifier</w:t>
      </w:r>
      <w:r w:rsidR="00010186"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4"/>
      </w:tblGrid>
      <w:tr w:rsidR="00892C13" w14:paraId="76BB95EC" w14:textId="77777777" w:rsidTr="00E84216"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0045FD65" w14:textId="23DE8BBF" w:rsidR="00892C13" w:rsidRDefault="00E84216" w:rsidP="00DA6422">
            <w:pPr>
              <w:jc w:val="center"/>
            </w:pPr>
            <w:r>
              <w:t>Participant</w:t>
            </w:r>
          </w:p>
        </w:tc>
        <w:tc>
          <w:tcPr>
            <w:tcW w:w="320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D29E1A" w14:textId="4F133A9A" w:rsidR="00892C13" w:rsidRDefault="00892C13" w:rsidP="00DA6422">
            <w:pPr>
              <w:jc w:val="center"/>
            </w:pPr>
            <w:r>
              <w:t>Conv-LSTM</w:t>
            </w:r>
            <w:r w:rsidR="00AA48E2">
              <w:t xml:space="preserve"> % accuracy</w:t>
            </w:r>
          </w:p>
        </w:tc>
        <w:tc>
          <w:tcPr>
            <w:tcW w:w="320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7EAC03A" w14:textId="7B1FC066" w:rsidR="00892C13" w:rsidRDefault="00892C13" w:rsidP="00DA6422">
            <w:pPr>
              <w:jc w:val="center"/>
            </w:pPr>
            <w:r>
              <w:t>Attention</w:t>
            </w:r>
            <w:r w:rsidR="00AA48E2">
              <w:t xml:space="preserve"> % accuracy</w:t>
            </w:r>
          </w:p>
        </w:tc>
      </w:tr>
      <w:tr w:rsidR="00DA6422" w14:paraId="26978342" w14:textId="77777777" w:rsidTr="00E84216"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157385D5" w14:textId="213C5D93" w:rsidR="00DA6422" w:rsidRDefault="00DA6422" w:rsidP="00DA6422">
            <w:pPr>
              <w:jc w:val="center"/>
            </w:pPr>
          </w:p>
        </w:tc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789B551F" w14:textId="66D49B7F" w:rsidR="00DA6422" w:rsidRDefault="00DA6422" w:rsidP="00DA6422">
            <w:pPr>
              <w:jc w:val="center"/>
            </w:pPr>
            <w:r>
              <w:t>Training</w:t>
            </w:r>
          </w:p>
        </w:tc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7A1D72D4" w14:textId="6BC02088" w:rsidR="00DA6422" w:rsidRDefault="00DA6422" w:rsidP="00DA6422">
            <w:pPr>
              <w:jc w:val="center"/>
            </w:pPr>
            <w:r>
              <w:t>Testing</w:t>
            </w:r>
          </w:p>
        </w:tc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4D047BE6" w14:textId="4A7BB164" w:rsidR="00DA6422" w:rsidRDefault="00DA6422" w:rsidP="00DA6422">
            <w:pPr>
              <w:jc w:val="center"/>
            </w:pPr>
            <w:r>
              <w:t>Training</w:t>
            </w:r>
          </w:p>
        </w:tc>
        <w:tc>
          <w:tcPr>
            <w:tcW w:w="1604" w:type="dxa"/>
            <w:tcBorders>
              <w:left w:val="nil"/>
              <w:bottom w:val="single" w:sz="4" w:space="0" w:color="auto"/>
              <w:right w:val="nil"/>
            </w:tcBorders>
          </w:tcPr>
          <w:p w14:paraId="40120890" w14:textId="09840553" w:rsidR="00DA6422" w:rsidRDefault="00DA6422" w:rsidP="00DA6422">
            <w:pPr>
              <w:jc w:val="center"/>
            </w:pPr>
            <w:r>
              <w:t>Testing</w:t>
            </w:r>
          </w:p>
        </w:tc>
      </w:tr>
      <w:tr w:rsidR="00421997" w14:paraId="06A6F089" w14:textId="77777777" w:rsidTr="00E84216"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34BAD" w14:textId="5DC8E777" w:rsidR="00421997" w:rsidRDefault="00421997" w:rsidP="00421997">
            <w:pPr>
              <w:jc w:val="center"/>
            </w:pPr>
            <w:r>
              <w:t>S1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0FB50" w14:textId="7A8D28F6" w:rsidR="00421997" w:rsidRDefault="00421997" w:rsidP="00421997">
            <w:pPr>
              <w:jc w:val="center"/>
            </w:pPr>
            <w:r>
              <w:t>90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F2F2" w14:textId="146966C5" w:rsidR="00421997" w:rsidRDefault="00421997" w:rsidP="00421997">
            <w:pPr>
              <w:jc w:val="center"/>
            </w:pPr>
            <w:r>
              <w:t>68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D13E9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D18DD0" w14:textId="77777777" w:rsidR="00421997" w:rsidRDefault="00421997" w:rsidP="00421997">
            <w:pPr>
              <w:jc w:val="center"/>
            </w:pPr>
          </w:p>
        </w:tc>
      </w:tr>
      <w:tr w:rsidR="00421997" w14:paraId="3FB3A3D1" w14:textId="77777777" w:rsidTr="00E84216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D6664BA" w14:textId="530FA3D9" w:rsidR="00421997" w:rsidRDefault="00421997" w:rsidP="00421997">
            <w:pPr>
              <w:jc w:val="center"/>
            </w:pPr>
            <w:r>
              <w:t>S2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7D7F47D9" w14:textId="60BC90B6" w:rsidR="00421997" w:rsidRDefault="00421997" w:rsidP="00421997">
            <w:pPr>
              <w:jc w:val="center"/>
            </w:pPr>
            <w:r>
              <w:t>93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6F44A58" w14:textId="57C25599" w:rsidR="00421997" w:rsidRDefault="00421997" w:rsidP="00421997">
            <w:pPr>
              <w:jc w:val="center"/>
            </w:pPr>
            <w:r>
              <w:t>84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190791E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7E836E41" w14:textId="77777777" w:rsidR="00421997" w:rsidRDefault="00421997" w:rsidP="00421997">
            <w:pPr>
              <w:jc w:val="center"/>
            </w:pPr>
          </w:p>
        </w:tc>
      </w:tr>
      <w:tr w:rsidR="00421997" w14:paraId="240C599A" w14:textId="77777777" w:rsidTr="00E84216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9A0604A" w14:textId="14ACCABF" w:rsidR="00421997" w:rsidRDefault="00421997" w:rsidP="00421997">
            <w:pPr>
              <w:jc w:val="center"/>
            </w:pPr>
            <w:r>
              <w:t>S3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7AD5265F" w14:textId="7E9B6C8B" w:rsidR="00421997" w:rsidRDefault="00EA57F4" w:rsidP="00421997">
            <w:pPr>
              <w:jc w:val="center"/>
            </w:pPr>
            <w:r>
              <w:t>91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5E2DF2BC" w14:textId="69FD4B56" w:rsidR="00421997" w:rsidRDefault="00EA57F4" w:rsidP="00421997">
            <w:pPr>
              <w:jc w:val="center"/>
            </w:pPr>
            <w:r>
              <w:t>77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7F6B946A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D29922E" w14:textId="77777777" w:rsidR="00421997" w:rsidRDefault="00421997" w:rsidP="00421997">
            <w:pPr>
              <w:jc w:val="center"/>
            </w:pPr>
          </w:p>
        </w:tc>
      </w:tr>
      <w:tr w:rsidR="00421997" w14:paraId="009AB184" w14:textId="77777777" w:rsidTr="00E84216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08D63F7E" w14:textId="2198EC63" w:rsidR="00421997" w:rsidRDefault="00421997" w:rsidP="00421997">
            <w:pPr>
              <w:jc w:val="center"/>
            </w:pPr>
            <w:r>
              <w:t>S4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23A2E80" w14:textId="366B57AD" w:rsidR="00421997" w:rsidRDefault="00EA57F4" w:rsidP="00421997">
            <w:pPr>
              <w:jc w:val="center"/>
            </w:pPr>
            <w:r>
              <w:t>91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D16C89B" w14:textId="19503FDC" w:rsidR="00421997" w:rsidRDefault="00EA57F4" w:rsidP="00421997">
            <w:pPr>
              <w:jc w:val="center"/>
            </w:pPr>
            <w:r>
              <w:t>80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0CDE534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5DED73A" w14:textId="77777777" w:rsidR="00421997" w:rsidRDefault="00421997" w:rsidP="00421997">
            <w:pPr>
              <w:jc w:val="center"/>
            </w:pPr>
          </w:p>
        </w:tc>
      </w:tr>
      <w:tr w:rsidR="00421997" w14:paraId="73ED1A5A" w14:textId="77777777" w:rsidTr="00E84216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998C44F" w14:textId="666E49F6" w:rsidR="00421997" w:rsidRDefault="00421997" w:rsidP="00421997">
            <w:pPr>
              <w:jc w:val="center"/>
            </w:pPr>
            <w:r>
              <w:t>S5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9B46CB7" w14:textId="0CD5F8DD" w:rsidR="00421997" w:rsidRDefault="00CE445C" w:rsidP="00421997">
            <w:pPr>
              <w:jc w:val="center"/>
            </w:pPr>
            <w:r>
              <w:t>88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9BBA6CF" w14:textId="2065042D" w:rsidR="00421997" w:rsidRDefault="00CE445C" w:rsidP="00421997">
            <w:pPr>
              <w:jc w:val="center"/>
            </w:pPr>
            <w:r>
              <w:t>84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665DA02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4C6969F3" w14:textId="77777777" w:rsidR="00421997" w:rsidRDefault="00421997" w:rsidP="00421997">
            <w:pPr>
              <w:jc w:val="center"/>
            </w:pPr>
          </w:p>
        </w:tc>
      </w:tr>
      <w:tr w:rsidR="00421997" w14:paraId="386F1F83" w14:textId="77777777" w:rsidTr="00E84216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A18ED79" w14:textId="2FE9C1FA" w:rsidR="00421997" w:rsidRDefault="00421997" w:rsidP="00421997">
            <w:pPr>
              <w:jc w:val="center"/>
            </w:pPr>
            <w:r>
              <w:t>S6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B9D69B5" w14:textId="576591DC" w:rsidR="00421997" w:rsidRDefault="00CE445C" w:rsidP="00421997">
            <w:pPr>
              <w:jc w:val="center"/>
            </w:pPr>
            <w:r>
              <w:t>88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00ED0891" w14:textId="64D55BB2" w:rsidR="00421997" w:rsidRDefault="00E84216" w:rsidP="00421997">
            <w:pPr>
              <w:jc w:val="center"/>
            </w:pPr>
            <w:r>
              <w:t>97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6222E5D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28598475" w14:textId="77777777" w:rsidR="00421997" w:rsidRDefault="00421997" w:rsidP="00421997">
            <w:pPr>
              <w:jc w:val="center"/>
            </w:pPr>
          </w:p>
        </w:tc>
      </w:tr>
      <w:tr w:rsidR="00421997" w14:paraId="3434AC6B" w14:textId="77777777" w:rsidTr="00E84216"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1D2A7" w14:textId="6E648D82" w:rsidR="00421997" w:rsidRDefault="00421997" w:rsidP="00421997">
            <w:pPr>
              <w:jc w:val="center"/>
            </w:pPr>
            <w:r>
              <w:t>S7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C90F9" w14:textId="529A8D71" w:rsidR="00421997" w:rsidRDefault="004C2CA5" w:rsidP="00421997">
            <w:pPr>
              <w:jc w:val="center"/>
            </w:pPr>
            <w:r>
              <w:t>89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248B2" w14:textId="0956172D" w:rsidR="00421997" w:rsidRDefault="004C2CA5" w:rsidP="00421997">
            <w:pPr>
              <w:jc w:val="center"/>
            </w:pPr>
            <w:r>
              <w:t>88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EDAED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198ED" w14:textId="77777777" w:rsidR="00421997" w:rsidRDefault="00421997" w:rsidP="00421997">
            <w:pPr>
              <w:jc w:val="center"/>
            </w:pPr>
          </w:p>
        </w:tc>
      </w:tr>
      <w:tr w:rsidR="00421997" w14:paraId="0A9C8E97" w14:textId="77777777" w:rsidTr="00E84216">
        <w:tc>
          <w:tcPr>
            <w:tcW w:w="1603" w:type="dxa"/>
            <w:tcBorders>
              <w:left w:val="nil"/>
              <w:right w:val="nil"/>
            </w:tcBorders>
          </w:tcPr>
          <w:p w14:paraId="16AA749C" w14:textId="63E00E7B" w:rsidR="00421997" w:rsidRPr="00771A4C" w:rsidRDefault="00421997" w:rsidP="00E84216">
            <w:pPr>
              <w:jc w:val="center"/>
              <w:rPr>
                <w:b/>
                <w:bCs/>
              </w:rPr>
            </w:pPr>
            <w:r w:rsidRPr="00771A4C">
              <w:rPr>
                <w:b/>
                <w:bCs/>
              </w:rPr>
              <w:t>Total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4B837C9" w14:textId="54CFDDDA" w:rsidR="00421997" w:rsidRPr="00771A4C" w:rsidRDefault="002E7CE8" w:rsidP="00E84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90.0</w:t>
            </w:r>
            <w:r>
              <w:rPr>
                <w:rFonts w:cstheme="minorHAnsi"/>
                <w:b/>
                <w:bCs/>
              </w:rPr>
              <w:t>±</w:t>
            </w:r>
            <w:r>
              <w:rPr>
                <w:b/>
                <w:bCs/>
              </w:rPr>
              <w:t>0.7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2A40DA89" w14:textId="54160AC7" w:rsidR="00421997" w:rsidRPr="00771A4C" w:rsidRDefault="002E7CE8" w:rsidP="00E84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82.6</w:t>
            </w:r>
            <w:r>
              <w:rPr>
                <w:rFonts w:cstheme="minorHAnsi"/>
                <w:b/>
                <w:bCs/>
              </w:rPr>
              <w:t>±</w:t>
            </w:r>
            <w:r>
              <w:rPr>
                <w:b/>
                <w:bCs/>
              </w:rPr>
              <w:t>3.4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1B09A191" w14:textId="77777777" w:rsidR="00421997" w:rsidRPr="00771A4C" w:rsidRDefault="00421997" w:rsidP="00E84216">
            <w:pPr>
              <w:jc w:val="center"/>
              <w:rPr>
                <w:b/>
                <w:bCs/>
              </w:rPr>
            </w:pPr>
          </w:p>
        </w:tc>
        <w:tc>
          <w:tcPr>
            <w:tcW w:w="1604" w:type="dxa"/>
            <w:tcBorders>
              <w:left w:val="nil"/>
              <w:right w:val="nil"/>
            </w:tcBorders>
          </w:tcPr>
          <w:p w14:paraId="5B87FA5C" w14:textId="77777777" w:rsidR="00421997" w:rsidRPr="00771A4C" w:rsidRDefault="00421997" w:rsidP="00E84216">
            <w:pPr>
              <w:jc w:val="center"/>
              <w:rPr>
                <w:b/>
                <w:bCs/>
              </w:rPr>
            </w:pPr>
          </w:p>
        </w:tc>
      </w:tr>
    </w:tbl>
    <w:p w14:paraId="23E80D4D" w14:textId="7DD1C096" w:rsidR="005669AD" w:rsidRDefault="00771A4C" w:rsidP="001E0756">
      <w:r w:rsidRPr="00ED21B0">
        <w:rPr>
          <w:b/>
          <w:bCs/>
        </w:rPr>
        <w:t>Table #ACCU-CROSS-VAL:</w:t>
      </w:r>
      <w:r>
        <w:t xml:space="preserve"> Accuracies</w:t>
      </w:r>
      <w:r w:rsidR="00892C13">
        <w:t xml:space="preserve"> of leave one out cross validation from the able-bodied </w:t>
      </w:r>
      <w:r>
        <w:t>datasets.</w:t>
      </w:r>
      <w:r w:rsidR="00892C13">
        <w:t xml:space="preserve"> </w:t>
      </w:r>
      <w:r w:rsidR="00DA6422">
        <w:t>*, validation result.</w:t>
      </w:r>
      <w:r w:rsidR="002E7CE8">
        <w:t xml:space="preserve"> Total, </w:t>
      </w:r>
      <w:proofErr w:type="spellStart"/>
      <w:r w:rsidR="002E7CE8">
        <w:t>mean</w:t>
      </w:r>
      <w:r w:rsidR="002E7CE8">
        <w:rPr>
          <w:rFonts w:cstheme="minorHAnsi"/>
        </w:rPr>
        <w:t>±</w:t>
      </w:r>
      <w:r w:rsidR="002E7CE8">
        <w:t>SEM</w:t>
      </w:r>
      <w:proofErr w:type="spellEnd"/>
    </w:p>
    <w:p w14:paraId="19B11881" w14:textId="77E12ECA" w:rsidR="006C62AF" w:rsidRDefault="006C62AF" w:rsidP="006C62AF">
      <w:pPr>
        <w:pStyle w:val="Heading2"/>
      </w:pPr>
      <w:r>
        <w:t xml:space="preserve">Deployment on </w:t>
      </w:r>
      <w:proofErr w:type="spellStart"/>
      <w:r>
        <w:t>EPRecorder</w:t>
      </w:r>
      <w:proofErr w:type="spellEnd"/>
    </w:p>
    <w:p w14:paraId="6F8F2E4B" w14:textId="0C4BFDFC" w:rsidR="005669AD" w:rsidRDefault="005669AD" w:rsidP="006C62AF">
      <w:pPr>
        <w:pStyle w:val="Heading3"/>
      </w:pPr>
      <w:r w:rsidRPr="005669AD">
        <w:t xml:space="preserve">Comparison with the </w:t>
      </w:r>
      <w:r w:rsidR="00C11F73">
        <w:t>standard</w:t>
      </w:r>
      <w:r w:rsidRPr="005669AD">
        <w:t xml:space="preserve"> detection method</w:t>
      </w:r>
    </w:p>
    <w:p w14:paraId="7E469F78" w14:textId="0A009DAB" w:rsidR="000C4B0C" w:rsidRDefault="00935163" w:rsidP="00C11F73">
      <w:r w:rsidRPr="00935163">
        <w:t xml:space="preserve">Figure </w:t>
      </w:r>
      <w:r w:rsidRPr="00FB79B3">
        <w:rPr>
          <w:b/>
          <w:bCs/>
        </w:rPr>
        <w:t>#fig-standard-vs-conv-lstm</w:t>
      </w:r>
      <w:r>
        <w:t xml:space="preserve"> shows the example of a hit and a miss in </w:t>
      </w:r>
      <w:proofErr w:type="spellStart"/>
      <w:r>
        <w:t>EPRecorder</w:t>
      </w:r>
      <w:proofErr w:type="spellEnd"/>
      <w:r>
        <w:t xml:space="preserve"> for the standard and Conv-LSTM methods. It shows the original labels and the region of the epoch identified by the methods as containing a valid response.</w:t>
      </w:r>
      <w:r w:rsidR="00687F2C">
        <w:t xml:space="preserve"> Both method correctly identified the presence of a response but the start and stop times of the detected response vary from that of the label. For the miss detection, typically the standard method detected a large proportion of the stimulation artefact as a valid response. On the other hand the classifier detected a small proportion of the stimulation artefact, specifically the region with a response-like depression in the waveform. These results are typical </w:t>
      </w:r>
      <w:r w:rsidR="00FB79B3">
        <w:t xml:space="preserve">in this study; </w:t>
      </w:r>
      <w:r w:rsidR="00687F2C">
        <w:t>because the standard method ha</w:t>
      </w:r>
      <w:r w:rsidR="00FB79B3">
        <w:t>s</w:t>
      </w:r>
      <w:r w:rsidR="00687F2C">
        <w:t xml:space="preserve"> no knowledge of morphology of a valid waveform while the classifier make a data-informed decision </w:t>
      </w:r>
      <w:r w:rsidR="00F30DE4">
        <w:t xml:space="preserve">tending to detect waveforms with a similar </w:t>
      </w:r>
      <w:r w:rsidR="00FB79B3">
        <w:t>morphology</w:t>
      </w:r>
      <w:r w:rsidR="00F30DE4">
        <w:t xml:space="preserve"> as a response.</w:t>
      </w:r>
      <w:r w:rsidR="00687F2C">
        <w:t xml:space="preserve">  </w:t>
      </w:r>
    </w:p>
    <w:p w14:paraId="559B0C62" w14:textId="119C6484" w:rsidR="000C4B0C" w:rsidRDefault="000C4B0C" w:rsidP="000C4B0C">
      <w:r w:rsidRPr="000C4B0C">
        <w:rPr>
          <w:b/>
          <w:bCs/>
        </w:rPr>
        <w:t>Table #REF-DEPLOY_RESULT</w:t>
      </w:r>
      <w:r>
        <w:t xml:space="preserve"> shows the summary of the classification in practice for each classification method. The classification accuracies are</w:t>
      </w:r>
      <w:r w:rsidRPr="006C62AF">
        <w:t xml:space="preserve"> </w:t>
      </w:r>
      <w:proofErr w:type="spellStart"/>
      <w:r w:rsidRPr="00137A6A">
        <w:rPr>
          <w:color w:val="FF0000"/>
        </w:rPr>
        <w:t>x±y</w:t>
      </w:r>
      <w:proofErr w:type="spellEnd"/>
      <w:r>
        <w:t>% for the standard,</w:t>
      </w:r>
      <w:r w:rsidRPr="006C62AF">
        <w:t xml:space="preserve">  </w:t>
      </w:r>
      <w:proofErr w:type="spellStart"/>
      <w:r w:rsidRPr="00137A6A">
        <w:rPr>
          <w:color w:val="FF0000"/>
        </w:rPr>
        <w:t>x±y</w:t>
      </w:r>
      <w:proofErr w:type="spellEnd"/>
      <w:r w:rsidRPr="00137A6A">
        <w:rPr>
          <w:color w:val="FF0000"/>
        </w:rPr>
        <w:t>%</w:t>
      </w:r>
      <w:r>
        <w:t xml:space="preserve"> for the Conv-LSTM, and </w:t>
      </w:r>
      <w:proofErr w:type="spellStart"/>
      <w:r w:rsidRPr="00137A6A">
        <w:rPr>
          <w:color w:val="FF0000"/>
        </w:rPr>
        <w:t>x</w:t>
      </w:r>
      <w:r w:rsidRPr="00137A6A">
        <w:rPr>
          <w:rFonts w:cstheme="minorHAnsi"/>
          <w:color w:val="FF0000"/>
        </w:rPr>
        <w:t>±</w:t>
      </w:r>
      <w:r w:rsidRPr="00137A6A">
        <w:rPr>
          <w:color w:val="FF0000"/>
        </w:rPr>
        <w:t>y</w:t>
      </w:r>
      <w:proofErr w:type="spellEnd"/>
      <w:r w:rsidRPr="00137A6A">
        <w:rPr>
          <w:color w:val="FF0000"/>
        </w:rPr>
        <w:t>%</w:t>
      </w:r>
      <w:r>
        <w:t xml:space="preserve"> for the Attention classifier</w:t>
      </w:r>
      <w:r w:rsidRPr="006C62AF">
        <w:t>.</w:t>
      </w:r>
    </w:p>
    <w:p w14:paraId="7545AF4E" w14:textId="3837001E" w:rsidR="000C4B0C" w:rsidRDefault="000C4B0C" w:rsidP="00C11F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826"/>
        <w:gridCol w:w="545"/>
        <w:gridCol w:w="978"/>
        <w:gridCol w:w="995"/>
        <w:gridCol w:w="607"/>
        <w:gridCol w:w="979"/>
        <w:gridCol w:w="977"/>
        <w:gridCol w:w="518"/>
        <w:gridCol w:w="960"/>
        <w:gridCol w:w="993"/>
      </w:tblGrid>
      <w:tr w:rsidR="00AA48E2" w14:paraId="124BC95F" w14:textId="77777777" w:rsidTr="00FC00A6">
        <w:trPr>
          <w:trHeight w:val="269"/>
        </w:trPr>
        <w:tc>
          <w:tcPr>
            <w:tcW w:w="607" w:type="dxa"/>
          </w:tcPr>
          <w:p w14:paraId="07A60D15" w14:textId="42B20FD6" w:rsidR="004B1330" w:rsidRDefault="004B1330" w:rsidP="00DA6422">
            <w:pPr>
              <w:jc w:val="center"/>
            </w:pPr>
          </w:p>
        </w:tc>
        <w:tc>
          <w:tcPr>
            <w:tcW w:w="826" w:type="dxa"/>
          </w:tcPr>
          <w:p w14:paraId="08508153" w14:textId="2648675D" w:rsidR="004B1330" w:rsidRDefault="004B1330" w:rsidP="00DA6422">
            <w:pPr>
              <w:jc w:val="center"/>
            </w:pPr>
          </w:p>
        </w:tc>
        <w:tc>
          <w:tcPr>
            <w:tcW w:w="2518" w:type="dxa"/>
            <w:gridSpan w:val="3"/>
          </w:tcPr>
          <w:p w14:paraId="3F6000B5" w14:textId="4C347149" w:rsidR="004B1330" w:rsidRDefault="004B1330" w:rsidP="00DA6422">
            <w:pPr>
              <w:jc w:val="center"/>
            </w:pPr>
            <w:r>
              <w:t>Standard</w:t>
            </w:r>
          </w:p>
        </w:tc>
        <w:tc>
          <w:tcPr>
            <w:tcW w:w="2563" w:type="dxa"/>
            <w:gridSpan w:val="3"/>
          </w:tcPr>
          <w:p w14:paraId="2C461A49" w14:textId="6AB301C0" w:rsidR="004B1330" w:rsidRDefault="004B1330" w:rsidP="00DA6422">
            <w:pPr>
              <w:jc w:val="center"/>
            </w:pPr>
            <w:r>
              <w:t>Conv-LSTM</w:t>
            </w:r>
          </w:p>
        </w:tc>
        <w:tc>
          <w:tcPr>
            <w:tcW w:w="2471" w:type="dxa"/>
            <w:gridSpan w:val="3"/>
          </w:tcPr>
          <w:p w14:paraId="63175CB0" w14:textId="41A0B9D5" w:rsidR="004B1330" w:rsidRDefault="004B1330" w:rsidP="00DA6422">
            <w:pPr>
              <w:jc w:val="center"/>
            </w:pPr>
            <w:r>
              <w:t>Attention</w:t>
            </w:r>
          </w:p>
        </w:tc>
      </w:tr>
      <w:tr w:rsidR="004B1330" w14:paraId="4134190D" w14:textId="77777777" w:rsidTr="00FC00A6">
        <w:trPr>
          <w:trHeight w:val="269"/>
        </w:trPr>
        <w:tc>
          <w:tcPr>
            <w:tcW w:w="607" w:type="dxa"/>
          </w:tcPr>
          <w:p w14:paraId="0078F78A" w14:textId="4FC63328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proofErr w:type="spellStart"/>
            <w:r w:rsidRPr="004B1330">
              <w:rPr>
                <w:sz w:val="18"/>
                <w:szCs w:val="18"/>
              </w:rPr>
              <w:lastRenderedPageBreak/>
              <w:t>Part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26" w:type="dxa"/>
          </w:tcPr>
          <w:p w14:paraId="3BBD1B2F" w14:textId="404FA01B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>#Epochs</w:t>
            </w:r>
          </w:p>
        </w:tc>
        <w:tc>
          <w:tcPr>
            <w:tcW w:w="545" w:type="dxa"/>
          </w:tcPr>
          <w:p w14:paraId="60C8C0CD" w14:textId="02EF8597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</w:rPr>
              <w:t>.</w:t>
            </w:r>
            <w:r w:rsidR="00AA48E2">
              <w:rPr>
                <w:sz w:val="18"/>
                <w:szCs w:val="18"/>
              </w:rPr>
              <w:t xml:space="preserve"> %</w:t>
            </w:r>
          </w:p>
        </w:tc>
        <w:tc>
          <w:tcPr>
            <w:tcW w:w="978" w:type="dxa"/>
          </w:tcPr>
          <w:p w14:paraId="10995EE7" w14:textId="20445726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Start time </w:t>
            </w:r>
            <w:r w:rsidR="003471C7">
              <w:rPr>
                <w:sz w:val="18"/>
                <w:szCs w:val="18"/>
              </w:rPr>
              <w:t>RMSE</w:t>
            </w:r>
          </w:p>
        </w:tc>
        <w:tc>
          <w:tcPr>
            <w:tcW w:w="995" w:type="dxa"/>
          </w:tcPr>
          <w:p w14:paraId="66DA8301" w14:textId="58EDBB5F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Stop time </w:t>
            </w:r>
            <w:r w:rsidR="003471C7">
              <w:rPr>
                <w:sz w:val="18"/>
                <w:szCs w:val="18"/>
              </w:rPr>
              <w:t>RMSE</w:t>
            </w:r>
          </w:p>
        </w:tc>
        <w:tc>
          <w:tcPr>
            <w:tcW w:w="607" w:type="dxa"/>
          </w:tcPr>
          <w:p w14:paraId="67E0BB51" w14:textId="79C8759B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979" w:type="dxa"/>
          </w:tcPr>
          <w:p w14:paraId="337EF93A" w14:textId="694C7147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Start time </w:t>
            </w:r>
            <w:r w:rsidR="003471C7">
              <w:rPr>
                <w:sz w:val="18"/>
                <w:szCs w:val="18"/>
              </w:rPr>
              <w:t>RMSE</w:t>
            </w:r>
          </w:p>
        </w:tc>
        <w:tc>
          <w:tcPr>
            <w:tcW w:w="977" w:type="dxa"/>
          </w:tcPr>
          <w:p w14:paraId="292C0801" w14:textId="4DBDC3AC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Stop time </w:t>
            </w:r>
            <w:r w:rsidR="003471C7">
              <w:rPr>
                <w:sz w:val="18"/>
                <w:szCs w:val="18"/>
              </w:rPr>
              <w:t>RMSE</w:t>
            </w:r>
          </w:p>
        </w:tc>
        <w:tc>
          <w:tcPr>
            <w:tcW w:w="518" w:type="dxa"/>
          </w:tcPr>
          <w:p w14:paraId="193BD15A" w14:textId="14C412C1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</w:rPr>
              <w:t>.</w:t>
            </w:r>
            <w:r w:rsidR="00AA48E2">
              <w:rPr>
                <w:sz w:val="18"/>
                <w:szCs w:val="18"/>
              </w:rPr>
              <w:t xml:space="preserve"> %</w:t>
            </w:r>
          </w:p>
        </w:tc>
        <w:tc>
          <w:tcPr>
            <w:tcW w:w="960" w:type="dxa"/>
          </w:tcPr>
          <w:p w14:paraId="61C049EF" w14:textId="4B0389D4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Start time </w:t>
            </w:r>
            <w:r w:rsidR="003471C7">
              <w:rPr>
                <w:sz w:val="18"/>
                <w:szCs w:val="18"/>
              </w:rPr>
              <w:t>RMSE</w:t>
            </w:r>
          </w:p>
        </w:tc>
        <w:tc>
          <w:tcPr>
            <w:tcW w:w="993" w:type="dxa"/>
          </w:tcPr>
          <w:p w14:paraId="26DB2C02" w14:textId="67AE9C5C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Stop time </w:t>
            </w:r>
            <w:r w:rsidR="003471C7">
              <w:rPr>
                <w:sz w:val="18"/>
                <w:szCs w:val="18"/>
              </w:rPr>
              <w:t>RMSE</w:t>
            </w:r>
          </w:p>
        </w:tc>
      </w:tr>
      <w:tr w:rsidR="00FC00A6" w14:paraId="0DA1A223" w14:textId="77777777" w:rsidTr="00FC00A6">
        <w:trPr>
          <w:trHeight w:val="269"/>
        </w:trPr>
        <w:tc>
          <w:tcPr>
            <w:tcW w:w="607" w:type="dxa"/>
          </w:tcPr>
          <w:p w14:paraId="06B1D6C7" w14:textId="0D0B6C48" w:rsidR="00FC00A6" w:rsidRDefault="00FC00A6" w:rsidP="00FC00A6">
            <w:pPr>
              <w:jc w:val="center"/>
            </w:pPr>
            <w:r>
              <w:t>S1</w:t>
            </w:r>
          </w:p>
        </w:tc>
        <w:tc>
          <w:tcPr>
            <w:tcW w:w="826" w:type="dxa"/>
          </w:tcPr>
          <w:p w14:paraId="6F89359B" w14:textId="05C0B05E" w:rsidR="00FC00A6" w:rsidRDefault="00FC00A6" w:rsidP="00FC00A6">
            <w:pPr>
              <w:jc w:val="center"/>
            </w:pPr>
            <w:r>
              <w:t>520</w:t>
            </w:r>
          </w:p>
        </w:tc>
        <w:tc>
          <w:tcPr>
            <w:tcW w:w="545" w:type="dxa"/>
          </w:tcPr>
          <w:p w14:paraId="7DDA66AD" w14:textId="0CEFAF38" w:rsidR="00FC00A6" w:rsidRDefault="00FC00A6" w:rsidP="00FC00A6">
            <w:pPr>
              <w:jc w:val="center"/>
            </w:pPr>
            <w:r>
              <w:t>92</w:t>
            </w:r>
          </w:p>
        </w:tc>
        <w:tc>
          <w:tcPr>
            <w:tcW w:w="978" w:type="dxa"/>
          </w:tcPr>
          <w:p w14:paraId="3EA2064A" w14:textId="61A986CC" w:rsidR="00FC00A6" w:rsidRDefault="00FC00A6" w:rsidP="00FC00A6">
            <w:pPr>
              <w:jc w:val="center"/>
            </w:pPr>
            <w:r>
              <w:t>1.</w:t>
            </w:r>
            <w:r w:rsidR="00AB084E">
              <w:t>7</w:t>
            </w:r>
          </w:p>
        </w:tc>
        <w:tc>
          <w:tcPr>
            <w:tcW w:w="995" w:type="dxa"/>
          </w:tcPr>
          <w:p w14:paraId="68D82012" w14:textId="281DD205" w:rsidR="00FC00A6" w:rsidRDefault="00FC00A6" w:rsidP="00FC00A6">
            <w:pPr>
              <w:jc w:val="center"/>
            </w:pPr>
            <w:r>
              <w:t>6.2</w:t>
            </w:r>
          </w:p>
        </w:tc>
        <w:tc>
          <w:tcPr>
            <w:tcW w:w="607" w:type="dxa"/>
          </w:tcPr>
          <w:p w14:paraId="46532E8D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002DB32A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743F00DC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3010F761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7357459E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15EF050E" w14:textId="1309A04C" w:rsidR="00FC00A6" w:rsidRDefault="00FC00A6" w:rsidP="00FC00A6">
            <w:pPr>
              <w:jc w:val="center"/>
            </w:pPr>
          </w:p>
        </w:tc>
      </w:tr>
      <w:tr w:rsidR="00FC00A6" w14:paraId="3B2B072C" w14:textId="77777777" w:rsidTr="00FC00A6">
        <w:trPr>
          <w:trHeight w:val="269"/>
        </w:trPr>
        <w:tc>
          <w:tcPr>
            <w:tcW w:w="607" w:type="dxa"/>
          </w:tcPr>
          <w:p w14:paraId="0CD5C719" w14:textId="33142950" w:rsidR="00FC00A6" w:rsidRDefault="00FC00A6" w:rsidP="00FC00A6">
            <w:pPr>
              <w:jc w:val="center"/>
            </w:pPr>
            <w:r>
              <w:t>S2</w:t>
            </w:r>
          </w:p>
        </w:tc>
        <w:tc>
          <w:tcPr>
            <w:tcW w:w="826" w:type="dxa"/>
          </w:tcPr>
          <w:p w14:paraId="0043CE45" w14:textId="7BB973CD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516</w:t>
            </w:r>
          </w:p>
        </w:tc>
        <w:tc>
          <w:tcPr>
            <w:tcW w:w="545" w:type="dxa"/>
          </w:tcPr>
          <w:p w14:paraId="444CEBC8" w14:textId="14ACCA0E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85</w:t>
            </w:r>
          </w:p>
        </w:tc>
        <w:tc>
          <w:tcPr>
            <w:tcW w:w="978" w:type="dxa"/>
          </w:tcPr>
          <w:p w14:paraId="55FE32C5" w14:textId="0B58BB93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1.29</w:t>
            </w:r>
          </w:p>
        </w:tc>
        <w:tc>
          <w:tcPr>
            <w:tcW w:w="995" w:type="dxa"/>
          </w:tcPr>
          <w:p w14:paraId="13EE9300" w14:textId="4039D645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5.98</w:t>
            </w:r>
          </w:p>
        </w:tc>
        <w:tc>
          <w:tcPr>
            <w:tcW w:w="607" w:type="dxa"/>
          </w:tcPr>
          <w:p w14:paraId="428A1BE6" w14:textId="6957CC31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95</w:t>
            </w:r>
          </w:p>
        </w:tc>
        <w:tc>
          <w:tcPr>
            <w:tcW w:w="979" w:type="dxa"/>
          </w:tcPr>
          <w:p w14:paraId="475D2989" w14:textId="4BF30A20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2.89</w:t>
            </w:r>
          </w:p>
        </w:tc>
        <w:tc>
          <w:tcPr>
            <w:tcW w:w="977" w:type="dxa"/>
          </w:tcPr>
          <w:p w14:paraId="5C0F4496" w14:textId="01DDEE09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4.65</w:t>
            </w:r>
          </w:p>
        </w:tc>
        <w:tc>
          <w:tcPr>
            <w:tcW w:w="518" w:type="dxa"/>
          </w:tcPr>
          <w:p w14:paraId="50C703D6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32D43BDF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7DEAFE4F" w14:textId="4192ABC3" w:rsidR="00FC00A6" w:rsidRDefault="00FC00A6" w:rsidP="00FC00A6">
            <w:pPr>
              <w:jc w:val="center"/>
            </w:pPr>
          </w:p>
        </w:tc>
      </w:tr>
      <w:tr w:rsidR="00FC00A6" w14:paraId="63430C2E" w14:textId="77777777" w:rsidTr="00FC00A6">
        <w:trPr>
          <w:trHeight w:val="269"/>
        </w:trPr>
        <w:tc>
          <w:tcPr>
            <w:tcW w:w="607" w:type="dxa"/>
          </w:tcPr>
          <w:p w14:paraId="7CBF012A" w14:textId="368E248A" w:rsidR="00FC00A6" w:rsidRDefault="00FC00A6" w:rsidP="00FC00A6">
            <w:pPr>
              <w:jc w:val="center"/>
            </w:pPr>
            <w:r>
              <w:t>S3</w:t>
            </w:r>
          </w:p>
        </w:tc>
        <w:tc>
          <w:tcPr>
            <w:tcW w:w="826" w:type="dxa"/>
          </w:tcPr>
          <w:p w14:paraId="469CB4D3" w14:textId="1E763EFA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04D1D334" w14:textId="47B24E64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00A02F7C" w14:textId="29DE1402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1C4A675D" w14:textId="318080E8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6D6C20EB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6837BD4F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3D667184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1E1DAB6C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0FDA3793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7346193C" w14:textId="5741BC1B" w:rsidR="00FC00A6" w:rsidRDefault="00FC00A6" w:rsidP="00FC00A6">
            <w:pPr>
              <w:jc w:val="center"/>
            </w:pPr>
          </w:p>
        </w:tc>
      </w:tr>
      <w:tr w:rsidR="00FC00A6" w14:paraId="5B61B2FA" w14:textId="77777777" w:rsidTr="00FC00A6">
        <w:trPr>
          <w:trHeight w:val="269"/>
        </w:trPr>
        <w:tc>
          <w:tcPr>
            <w:tcW w:w="607" w:type="dxa"/>
          </w:tcPr>
          <w:p w14:paraId="1E372471" w14:textId="1230F5CA" w:rsidR="00FC00A6" w:rsidRDefault="00FC00A6" w:rsidP="00FC00A6">
            <w:pPr>
              <w:jc w:val="center"/>
            </w:pPr>
            <w:r>
              <w:t>S4</w:t>
            </w:r>
          </w:p>
        </w:tc>
        <w:tc>
          <w:tcPr>
            <w:tcW w:w="826" w:type="dxa"/>
          </w:tcPr>
          <w:p w14:paraId="447DD3D3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2A341826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2B8F431F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320EC385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7B6F9530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02BB4468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653C07E5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4B07CC49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02822E95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0534F32D" w14:textId="482304F6" w:rsidR="00FC00A6" w:rsidRDefault="00FC00A6" w:rsidP="00FC00A6">
            <w:pPr>
              <w:jc w:val="center"/>
            </w:pPr>
          </w:p>
        </w:tc>
      </w:tr>
      <w:tr w:rsidR="00FC00A6" w14:paraId="22F8BC2D" w14:textId="77777777" w:rsidTr="00FC00A6">
        <w:trPr>
          <w:trHeight w:val="269"/>
        </w:trPr>
        <w:tc>
          <w:tcPr>
            <w:tcW w:w="607" w:type="dxa"/>
          </w:tcPr>
          <w:p w14:paraId="4E1C1269" w14:textId="1216882B" w:rsidR="00FC00A6" w:rsidRDefault="00FC00A6" w:rsidP="00FC00A6">
            <w:pPr>
              <w:jc w:val="center"/>
            </w:pPr>
            <w:r>
              <w:t>S5</w:t>
            </w:r>
          </w:p>
        </w:tc>
        <w:tc>
          <w:tcPr>
            <w:tcW w:w="826" w:type="dxa"/>
          </w:tcPr>
          <w:p w14:paraId="25FB2E12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30233FE8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5357792D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5DD0A1A4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27D5F8CE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56B6C3B6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3C7F04E5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6FEB8E9E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63EAF76D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3ACB43E7" w14:textId="37CD8EC5" w:rsidR="00FC00A6" w:rsidRDefault="00FC00A6" w:rsidP="00FC00A6">
            <w:pPr>
              <w:jc w:val="center"/>
            </w:pPr>
          </w:p>
        </w:tc>
      </w:tr>
      <w:tr w:rsidR="00FC00A6" w14:paraId="101C34B6" w14:textId="77777777" w:rsidTr="00FC00A6">
        <w:trPr>
          <w:trHeight w:val="269"/>
        </w:trPr>
        <w:tc>
          <w:tcPr>
            <w:tcW w:w="607" w:type="dxa"/>
          </w:tcPr>
          <w:p w14:paraId="3B57DA39" w14:textId="163FCDE5" w:rsidR="00FC00A6" w:rsidRDefault="00FC00A6" w:rsidP="00FC00A6">
            <w:pPr>
              <w:jc w:val="center"/>
            </w:pPr>
            <w:r>
              <w:t>S6</w:t>
            </w:r>
          </w:p>
        </w:tc>
        <w:tc>
          <w:tcPr>
            <w:tcW w:w="826" w:type="dxa"/>
          </w:tcPr>
          <w:p w14:paraId="345B8850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3689231B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46148592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1C5505D0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04CCB2E4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3BF77C64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206BDE93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65466380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3E149CBB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586404E2" w14:textId="3C2DA4B6" w:rsidR="00FC00A6" w:rsidRDefault="00FC00A6" w:rsidP="00FC00A6">
            <w:pPr>
              <w:jc w:val="center"/>
            </w:pPr>
          </w:p>
        </w:tc>
      </w:tr>
      <w:tr w:rsidR="00FC00A6" w14:paraId="23264265" w14:textId="77777777" w:rsidTr="00FC00A6">
        <w:trPr>
          <w:trHeight w:val="269"/>
        </w:trPr>
        <w:tc>
          <w:tcPr>
            <w:tcW w:w="607" w:type="dxa"/>
          </w:tcPr>
          <w:p w14:paraId="7428A306" w14:textId="30E7D78C" w:rsidR="00FC00A6" w:rsidRDefault="00FC00A6" w:rsidP="00FC00A6">
            <w:pPr>
              <w:jc w:val="center"/>
            </w:pPr>
            <w:r>
              <w:t>S7</w:t>
            </w:r>
          </w:p>
        </w:tc>
        <w:tc>
          <w:tcPr>
            <w:tcW w:w="826" w:type="dxa"/>
          </w:tcPr>
          <w:p w14:paraId="56032267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514BA1C2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5D896F3C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7C7D2FE1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69A2B7D5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22735234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3D2556FA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5C86969A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324C6D5C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390C2CFA" w14:textId="77777777" w:rsidR="00FC00A6" w:rsidRDefault="00FC00A6" w:rsidP="00FC00A6">
            <w:pPr>
              <w:jc w:val="center"/>
            </w:pPr>
          </w:p>
        </w:tc>
      </w:tr>
      <w:tr w:rsidR="00FC00A6" w14:paraId="14776421" w14:textId="77777777" w:rsidTr="00FC00A6">
        <w:trPr>
          <w:trHeight w:val="269"/>
        </w:trPr>
        <w:tc>
          <w:tcPr>
            <w:tcW w:w="607" w:type="dxa"/>
          </w:tcPr>
          <w:p w14:paraId="7FE9132A" w14:textId="15F1B694" w:rsidR="00FC00A6" w:rsidRDefault="00FC00A6" w:rsidP="00FC00A6">
            <w:pPr>
              <w:jc w:val="center"/>
            </w:pPr>
            <w:r>
              <w:t>T1</w:t>
            </w:r>
          </w:p>
        </w:tc>
        <w:tc>
          <w:tcPr>
            <w:tcW w:w="826" w:type="dxa"/>
          </w:tcPr>
          <w:p w14:paraId="2B9139CE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7D635DF0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6817B2AD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702E85AA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43CABD66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53D0C899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0BAC678F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700D817C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512D5626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534EE36B" w14:textId="77777777" w:rsidR="00FC00A6" w:rsidRDefault="00FC00A6" w:rsidP="00FC00A6">
            <w:pPr>
              <w:jc w:val="center"/>
            </w:pPr>
          </w:p>
        </w:tc>
      </w:tr>
      <w:tr w:rsidR="00FC00A6" w14:paraId="3D6A741C" w14:textId="77777777" w:rsidTr="00FC00A6">
        <w:trPr>
          <w:trHeight w:val="269"/>
        </w:trPr>
        <w:tc>
          <w:tcPr>
            <w:tcW w:w="607" w:type="dxa"/>
          </w:tcPr>
          <w:p w14:paraId="508F844B" w14:textId="55AFA435" w:rsidR="00FC00A6" w:rsidRDefault="00FC00A6" w:rsidP="00FC00A6">
            <w:pPr>
              <w:jc w:val="center"/>
            </w:pPr>
            <w:r>
              <w:t>T2</w:t>
            </w:r>
          </w:p>
        </w:tc>
        <w:tc>
          <w:tcPr>
            <w:tcW w:w="826" w:type="dxa"/>
          </w:tcPr>
          <w:p w14:paraId="2CD30F48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37FE156C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2988A907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7AC92E62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13055253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4E340335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3C6BE5EA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12601DCC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0C63E225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6EE76068" w14:textId="77777777" w:rsidR="00FC00A6" w:rsidRDefault="00FC00A6" w:rsidP="00FC00A6">
            <w:pPr>
              <w:jc w:val="center"/>
            </w:pPr>
          </w:p>
        </w:tc>
      </w:tr>
      <w:tr w:rsidR="00FC00A6" w14:paraId="18FEC2DB" w14:textId="77777777" w:rsidTr="00FC00A6">
        <w:trPr>
          <w:trHeight w:val="269"/>
        </w:trPr>
        <w:tc>
          <w:tcPr>
            <w:tcW w:w="607" w:type="dxa"/>
          </w:tcPr>
          <w:p w14:paraId="70741A99" w14:textId="335BA27D" w:rsidR="00FC00A6" w:rsidRDefault="00FC00A6" w:rsidP="00FC00A6">
            <w:pPr>
              <w:jc w:val="center"/>
            </w:pPr>
            <w:r>
              <w:t>T3</w:t>
            </w:r>
          </w:p>
        </w:tc>
        <w:tc>
          <w:tcPr>
            <w:tcW w:w="826" w:type="dxa"/>
          </w:tcPr>
          <w:p w14:paraId="312D5B37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34111BBB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0F61AB1B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30EDD9F1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2FCEAFB2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2736FB89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035C6F45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0C255BE6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10433204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7CE2846A" w14:textId="77777777" w:rsidR="00FC00A6" w:rsidRDefault="00FC00A6" w:rsidP="00FC00A6">
            <w:pPr>
              <w:jc w:val="center"/>
            </w:pPr>
          </w:p>
        </w:tc>
      </w:tr>
      <w:tr w:rsidR="00FC00A6" w14:paraId="1219567F" w14:textId="77777777" w:rsidTr="00FC00A6">
        <w:trPr>
          <w:trHeight w:val="269"/>
        </w:trPr>
        <w:tc>
          <w:tcPr>
            <w:tcW w:w="607" w:type="dxa"/>
          </w:tcPr>
          <w:p w14:paraId="0C598CC6" w14:textId="4222D2F0" w:rsidR="00FC00A6" w:rsidRDefault="00FC00A6" w:rsidP="00FC00A6">
            <w:pPr>
              <w:jc w:val="center"/>
            </w:pPr>
            <w:r>
              <w:t>T4</w:t>
            </w:r>
          </w:p>
        </w:tc>
        <w:tc>
          <w:tcPr>
            <w:tcW w:w="826" w:type="dxa"/>
          </w:tcPr>
          <w:p w14:paraId="627A326A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04ECE5FA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0F3F56A7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0BEC0C4E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79A0B252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24E5F784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25554305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52F8D5E8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2F32FCE0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521BDDD0" w14:textId="77777777" w:rsidR="00FC00A6" w:rsidRDefault="00FC00A6" w:rsidP="00FC00A6">
            <w:pPr>
              <w:jc w:val="center"/>
            </w:pPr>
          </w:p>
        </w:tc>
      </w:tr>
      <w:tr w:rsidR="00FC00A6" w14:paraId="62C17493" w14:textId="77777777" w:rsidTr="00FC00A6">
        <w:trPr>
          <w:trHeight w:val="269"/>
        </w:trPr>
        <w:tc>
          <w:tcPr>
            <w:tcW w:w="607" w:type="dxa"/>
          </w:tcPr>
          <w:p w14:paraId="10B021C2" w14:textId="0FAF6AAB" w:rsidR="00FC00A6" w:rsidRDefault="00FC00A6" w:rsidP="00FC00A6">
            <w:pPr>
              <w:jc w:val="center"/>
            </w:pPr>
            <w:r>
              <w:t>T5</w:t>
            </w:r>
          </w:p>
        </w:tc>
        <w:tc>
          <w:tcPr>
            <w:tcW w:w="826" w:type="dxa"/>
          </w:tcPr>
          <w:p w14:paraId="500BD35C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70B85FFD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6C475881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081B46C6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1976E1CA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00C0BD48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7D2A1DC9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53C5B5C9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62DBB882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224240EC" w14:textId="77777777" w:rsidR="00FC00A6" w:rsidRDefault="00FC00A6" w:rsidP="00FC00A6">
            <w:pPr>
              <w:jc w:val="center"/>
            </w:pPr>
          </w:p>
        </w:tc>
      </w:tr>
    </w:tbl>
    <w:p w14:paraId="2FAC2C6D" w14:textId="64A51484" w:rsidR="009F0819" w:rsidRPr="00935163" w:rsidRDefault="00716181" w:rsidP="00C11F73">
      <w:r w:rsidRPr="00ED21B0">
        <w:rPr>
          <w:b/>
          <w:bCs/>
        </w:rPr>
        <w:t>Table #REF-DELOPLOY-RESULT</w:t>
      </w:r>
      <w:r>
        <w:t xml:space="preserve">: </w:t>
      </w:r>
      <w:r w:rsidR="003471C7">
        <w:t>Detection response a</w:t>
      </w:r>
      <w:r>
        <w:t>ccuracy, and start and stop time</w:t>
      </w:r>
      <w:r w:rsidR="003471C7">
        <w:t xml:space="preserve"> RMSE</w:t>
      </w:r>
      <w:r>
        <w:t xml:space="preserve"> for full response detection in </w:t>
      </w:r>
      <w:proofErr w:type="spellStart"/>
      <w:r>
        <w:t>EPRecorder</w:t>
      </w:r>
      <w:proofErr w:type="spellEnd"/>
      <w:r>
        <w:t xml:space="preserve">. </w:t>
      </w:r>
      <w:r w:rsidR="00ED21B0">
        <w:t xml:space="preserve">The results for each able-bodied participant was obtained using the corresponding cross validation classifier. For the patients, the same classifier used for participant S2 was used. </w:t>
      </w:r>
      <w:r w:rsidR="00302C71">
        <w:t>The start and stop rms are relative to the labels of the responses.</w:t>
      </w:r>
      <w:r w:rsidR="00ED21B0">
        <w:t xml:space="preserve"> </w:t>
      </w:r>
      <w:proofErr w:type="spellStart"/>
      <w:r w:rsidR="00ED21B0">
        <w:t>Acc</w:t>
      </w:r>
      <w:proofErr w:type="spellEnd"/>
      <w:r w:rsidR="00ED21B0">
        <w:t>, accuracy; RMSE, root mean squared error.</w:t>
      </w:r>
    </w:p>
    <w:p w14:paraId="3D1B9697" w14:textId="2A778E73" w:rsidR="009E2B64" w:rsidRDefault="009E2B64" w:rsidP="009E2B64">
      <w:pPr>
        <w:ind w:left="360"/>
      </w:pPr>
      <w:r>
        <w:rPr>
          <w:noProof/>
        </w:rPr>
        <w:drawing>
          <wp:inline distT="0" distB="0" distL="0" distR="0" wp14:anchorId="504FA498" wp14:editId="798B6F32">
            <wp:extent cx="46005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9909" w14:textId="599656C5" w:rsidR="009E2B64" w:rsidRDefault="009E2B64" w:rsidP="009E2B64">
      <w:pPr>
        <w:ind w:left="360"/>
      </w:pPr>
      <w:r w:rsidRPr="003D37EB">
        <w:rPr>
          <w:b/>
          <w:bCs/>
        </w:rPr>
        <w:t>Figure #fig-standard-vs-conv-lstm</w:t>
      </w:r>
      <w:r w:rsidRPr="009E2B64">
        <w:t>: Example</w:t>
      </w:r>
      <w:r>
        <w:t>s</w:t>
      </w:r>
      <w:r w:rsidRPr="009E2B64">
        <w:t xml:space="preserve"> </w:t>
      </w:r>
      <w:r>
        <w:t xml:space="preserve">of a hit and miss for the standard and Conv-LSTM methods. The data taken from participant S2 is the same for both method. For the ‘Miss’, no label is available </w:t>
      </w:r>
      <w:r w:rsidR="005F7997">
        <w:t>because the response-like waveform is judged to be excessively contaminated by the stimulation artifact.</w:t>
      </w:r>
      <w:r>
        <w:t xml:space="preserve">  </w:t>
      </w:r>
    </w:p>
    <w:p w14:paraId="778BBB4C" w14:textId="469D5CDA" w:rsidR="001448D5" w:rsidRDefault="001448D5" w:rsidP="009E2B64">
      <w:pPr>
        <w:ind w:left="360"/>
      </w:pPr>
    </w:p>
    <w:p w14:paraId="1DFFF5FB" w14:textId="72D62F87" w:rsidR="001448D5" w:rsidRDefault="001448D5" w:rsidP="009E2B64">
      <w:pPr>
        <w:ind w:left="360"/>
        <w:rPr>
          <w:color w:val="FF0000"/>
        </w:rPr>
      </w:pPr>
      <w:r>
        <w:t xml:space="preserve">To show how the classifier compare with the standard method as regards to start/stop time detection, the start/stop times of the for the classifier was compared with that of the standard method. </w:t>
      </w:r>
      <w:r w:rsidR="008F0FF0">
        <w:t xml:space="preserve">The data was pooled across the </w:t>
      </w:r>
      <w:r>
        <w:t>able-bodied</w:t>
      </w:r>
      <w:r w:rsidR="008F0FF0">
        <w:t xml:space="preserve"> (normative)</w:t>
      </w:r>
      <w:r>
        <w:t xml:space="preserve"> </w:t>
      </w:r>
      <w:r w:rsidR="008F0FF0">
        <w:t xml:space="preserve">participants, with concatenation across all subjects and </w:t>
      </w:r>
      <w:r w:rsidR="00990DCE">
        <w:t>epochs</w:t>
      </w:r>
      <w:r w:rsidR="008F0FF0">
        <w:t>.</w:t>
      </w:r>
      <w:r w:rsidR="00990DCE">
        <w:t xml:space="preserve"> Using t-test the result shows that </w:t>
      </w:r>
      <w:r w:rsidR="00990DCE" w:rsidRPr="00B55CB9">
        <w:rPr>
          <w:color w:val="FF0000"/>
        </w:rPr>
        <w:t>…RESULTS Of T—TEST………….</w:t>
      </w:r>
    </w:p>
    <w:p w14:paraId="1DEA43C2" w14:textId="3F362ABD" w:rsidR="001E0756" w:rsidRDefault="001E0756" w:rsidP="009E2B64">
      <w:pPr>
        <w:ind w:left="360"/>
        <w:rPr>
          <w:color w:val="FF0000"/>
        </w:rPr>
      </w:pPr>
    </w:p>
    <w:p w14:paraId="1C127685" w14:textId="4B1009AE" w:rsidR="001E0756" w:rsidRPr="001E0756" w:rsidRDefault="001E0756" w:rsidP="001E0756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t>Eamples</w:t>
      </w:r>
      <w:proofErr w:type="spellEnd"/>
      <w:r>
        <w:t xml:space="preserve"> of correctly and misclassified epochs (before and after post processing).</w:t>
      </w:r>
    </w:p>
    <w:p w14:paraId="3FB2F48E" w14:textId="3042B28C" w:rsidR="00CF1D3E" w:rsidRDefault="00CF1D3E" w:rsidP="00F36D15">
      <w:pPr>
        <w:pStyle w:val="Heading1"/>
      </w:pPr>
      <w:r>
        <w:t>Discussions</w:t>
      </w:r>
    </w:p>
    <w:p w14:paraId="09C8721D" w14:textId="0EB11E5A" w:rsidR="00CF1D3E" w:rsidRDefault="00CF1D3E" w:rsidP="00CF1D3E">
      <w:pPr>
        <w:pStyle w:val="Heading2"/>
      </w:pPr>
      <w:r>
        <w:t>Applications</w:t>
      </w:r>
    </w:p>
    <w:p w14:paraId="6C0EB675" w14:textId="77777777" w:rsidR="00E21E42" w:rsidRDefault="001A17DA" w:rsidP="00CF1D3E">
      <w:r>
        <w:t>A</w:t>
      </w:r>
      <w:r w:rsidR="00F461B1">
        <w:t xml:space="preserve">utomated </w:t>
      </w:r>
      <w:r>
        <w:t>p</w:t>
      </w:r>
      <w:r>
        <w:t>erceptual</w:t>
      </w:r>
      <w:r>
        <w:t xml:space="preserve"> </w:t>
      </w:r>
      <w:r w:rsidR="00F461B1">
        <w:t xml:space="preserve">detection is useful in research and </w:t>
      </w:r>
      <w:r>
        <w:t xml:space="preserve">clinical </w:t>
      </w:r>
      <w:r w:rsidR="00F461B1">
        <w:t>practice for consistent</w:t>
      </w:r>
      <w:r>
        <w:t xml:space="preserve">, </w:t>
      </w:r>
      <w:r w:rsidR="00F461B1">
        <w:t>reliable identification and delineation of evoked, induced, and involuntary responses from  e.g. brain or muscles.</w:t>
      </w:r>
      <w:r w:rsidR="00EB6FA2">
        <w:t xml:space="preserve"> A specific application is in clinical electrophysiological assessment of muscles, and integrity of corticospinal pathways and their excitability</w:t>
      </w:r>
      <w:r w:rsidR="00153F6E">
        <w:t xml:space="preserve"> as well as assessment of involuntary muscle responses</w:t>
      </w:r>
      <w:r w:rsidR="00EB6FA2">
        <w:t>. An example is in</w:t>
      </w:r>
      <w:r w:rsidR="000C7C39">
        <w:t xml:space="preserve"> analysis of s</w:t>
      </w:r>
      <w:r w:rsidR="000C7C39" w:rsidRPr="000C7C39">
        <w:t>omatosensory evoked potential</w:t>
      </w:r>
      <w:r w:rsidR="000C7C39">
        <w:t xml:space="preserve"> in intraoperative monitoring, and </w:t>
      </w:r>
      <w:r w:rsidR="00EB6FA2">
        <w:t>automated realisation of recruitment curve</w:t>
      </w:r>
      <w:r w:rsidR="00215830">
        <w:t xml:space="preserve"> and averages of potentials</w:t>
      </w:r>
      <w:r w:rsidR="00EB6FA2">
        <w:t xml:space="preserve"> in response to electromagnetic stimulation </w:t>
      </w:r>
      <w:r w:rsidR="000A7237" w:rsidRPr="000A7237">
        <w:t>\cite{groppa2012practical</w:t>
      </w:r>
      <w:r w:rsidR="00557E34">
        <w:t xml:space="preserve">, </w:t>
      </w:r>
      <w:r w:rsidR="00557E34" w:rsidRPr="00557E34">
        <w:t>fournier2019clinical</w:t>
      </w:r>
      <w:r w:rsidR="00557E34">
        <w:t>,</w:t>
      </w:r>
      <w:r w:rsidR="00557E34" w:rsidRPr="00557E34">
        <w:t xml:space="preserve"> </w:t>
      </w:r>
      <w:r w:rsidR="00557E34">
        <w:t>g</w:t>
      </w:r>
      <w:r w:rsidR="00557E34" w:rsidRPr="00557E34">
        <w:t>ugino</w:t>
      </w:r>
      <w:r w:rsidR="00557E34">
        <w:t>1990s</w:t>
      </w:r>
      <w:r w:rsidR="00557E34" w:rsidRPr="00557E34">
        <w:t>omatosensory</w:t>
      </w:r>
      <w:r w:rsidR="00557E34">
        <w:t>, luck2012event</w:t>
      </w:r>
      <w:r w:rsidR="000A7237" w:rsidRPr="000A7237">
        <w:t>}</w:t>
      </w:r>
      <w:r w:rsidR="00EB6FA2">
        <w:t>.</w:t>
      </w:r>
      <w:r w:rsidR="00215830">
        <w:t xml:space="preserve"> </w:t>
      </w:r>
    </w:p>
    <w:p w14:paraId="3BE6254F" w14:textId="5AC8FFEB" w:rsidR="00CF1D3E" w:rsidRDefault="00215830" w:rsidP="00CF1D3E">
      <w:r>
        <w:t>Another useful application is identification of deformation in evoked responses which may be due to a di</w:t>
      </w:r>
      <w:r w:rsidR="000A7237">
        <w:t>sorder</w:t>
      </w:r>
      <w:r w:rsidR="00557E34">
        <w:t xml:space="preserve"> </w:t>
      </w:r>
      <w:r w:rsidR="00557E34" w:rsidRPr="00557E34">
        <w:t>\cite{fournier2019clinical}</w:t>
      </w:r>
      <w:r>
        <w:t>. This may require methods such as autoencoders to detect morphological outliers in evoked responses.</w:t>
      </w:r>
      <w:r w:rsidR="00153F6E">
        <w:t xml:space="preserve"> </w:t>
      </w:r>
    </w:p>
    <w:p w14:paraId="6B41DEB5" w14:textId="77777777" w:rsidR="00596111" w:rsidRDefault="00153F6E" w:rsidP="00CF1D3E">
      <w:r>
        <w:t>Automated detection of induced response is</w:t>
      </w:r>
      <w:r w:rsidR="00E21E42">
        <w:t xml:space="preserve"> also</w:t>
      </w:r>
      <w:r>
        <w:t xml:space="preserve"> useful in certain BCI application where it can be used to identify readiness potentials for e.g. paired pulse stimulation </w:t>
      </w:r>
      <w:r w:rsidR="00B216DC">
        <w:t>\cite{mrachacz-Kersting2012precise}</w:t>
      </w:r>
      <w:r>
        <w:t xml:space="preserve">. </w:t>
      </w:r>
    </w:p>
    <w:p w14:paraId="7F340A3A" w14:textId="05B5D59C" w:rsidR="00153F6E" w:rsidRPr="00CF1D3E" w:rsidRDefault="00153F6E" w:rsidP="00CF1D3E">
      <w:r>
        <w:t xml:space="preserve">In spinal cord stimulation, automated detection of evoked responses </w:t>
      </w:r>
      <w:r w:rsidR="00016B4A">
        <w:t>is useful</w:t>
      </w:r>
      <w:r w:rsidR="00E21E42">
        <w:t xml:space="preserve"> for</w:t>
      </w:r>
      <w:r w:rsidR="00016B4A">
        <w:t xml:space="preserve"> fast and efficient functional mapping of the spinal cord. This can be used </w:t>
      </w:r>
      <w:r w:rsidR="00E21E42">
        <w:t>a</w:t>
      </w:r>
      <w:r w:rsidR="00892EA4">
        <w:t>s a</w:t>
      </w:r>
      <w:r w:rsidR="00E21E42">
        <w:t xml:space="preserve"> </w:t>
      </w:r>
      <w:r w:rsidR="00016B4A">
        <w:t xml:space="preserve">neurophysiological outcome </w:t>
      </w:r>
      <w:r w:rsidR="00892EA4">
        <w:t>and/</w:t>
      </w:r>
      <w:r w:rsidR="00016B4A">
        <w:t xml:space="preserve">or </w:t>
      </w:r>
      <w:r w:rsidR="00892EA4">
        <w:t xml:space="preserve">for </w:t>
      </w:r>
      <w:r w:rsidR="00016B4A">
        <w:t>automated localisation of stimulation site</w:t>
      </w:r>
      <w:r w:rsidR="00E21E42">
        <w:t>s</w:t>
      </w:r>
      <w:r w:rsidR="00016B4A">
        <w:t xml:space="preserve"> for target</w:t>
      </w:r>
      <w:r w:rsidR="00E21E42">
        <w:t>ed</w:t>
      </w:r>
      <w:r w:rsidR="00016B4A">
        <w:t xml:space="preserve"> therapy by </w:t>
      </w:r>
      <w:r w:rsidR="00A1753E">
        <w:t>determining</w:t>
      </w:r>
      <w:r w:rsidR="00016B4A">
        <w:t xml:space="preserve"> responses due to dorsal root stimulation</w:t>
      </w:r>
      <w:r w:rsidR="00C46214">
        <w:t>,</w:t>
      </w:r>
      <w:r w:rsidR="00016B4A">
        <w:t xml:space="preserve"> </w:t>
      </w:r>
      <w:r w:rsidR="00C46214">
        <w:t>manifested</w:t>
      </w:r>
      <w:r w:rsidR="00016B4A">
        <w:t xml:space="preserve"> in </w:t>
      </w:r>
      <w:r w:rsidR="001433C3" w:rsidRPr="001433C3">
        <w:t>post-activation depression</w:t>
      </w:r>
      <w:r w:rsidR="001433C3">
        <w:t xml:space="preserve"> </w:t>
      </w:r>
      <w:r w:rsidR="00B216DC" w:rsidRPr="00B216DC">
        <w:t>\cite{oh2022cervical}</w:t>
      </w:r>
      <w:r w:rsidR="00016B4A">
        <w:t xml:space="preserve">.       </w:t>
      </w:r>
    </w:p>
    <w:p w14:paraId="4B0C1B5A" w14:textId="47DE8C23" w:rsidR="00F36D15" w:rsidRPr="009E2B64" w:rsidRDefault="00F36D15" w:rsidP="00F36D15">
      <w:pPr>
        <w:pStyle w:val="Heading1"/>
      </w:pPr>
      <w:r w:rsidRPr="009E2B64">
        <w:t>Conclusions</w:t>
      </w:r>
    </w:p>
    <w:p w14:paraId="15FBAD23" w14:textId="732DC26C" w:rsidR="00404438" w:rsidRPr="009E2B64" w:rsidRDefault="00404438" w:rsidP="00404438"/>
    <w:p w14:paraId="3D88979B" w14:textId="6FBAD562" w:rsidR="00404438" w:rsidRPr="00404438" w:rsidRDefault="00404438" w:rsidP="00404438">
      <w:pPr>
        <w:pStyle w:val="Heading1"/>
        <w:rPr>
          <w:rStyle w:val="IntenseReference"/>
        </w:rPr>
      </w:pPr>
      <w:r w:rsidRPr="00404438">
        <w:rPr>
          <w:rStyle w:val="IntenseReference"/>
        </w:rPr>
        <w:t>Research</w:t>
      </w:r>
    </w:p>
    <w:p w14:paraId="2218782D" w14:textId="77777777" w:rsidR="00404438" w:rsidRPr="000841E7" w:rsidRDefault="00404438" w:rsidP="00404438">
      <w:pPr>
        <w:pStyle w:val="ListParagraph"/>
        <w:numPr>
          <w:ilvl w:val="0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With Convolutional neural network the following issues can be resolved. </w:t>
      </w:r>
    </w:p>
    <w:p w14:paraId="1FC722B4" w14:textId="77777777" w:rsidR="00404438" w:rsidRPr="000841E7" w:rsidRDefault="00404438" w:rsidP="00404438">
      <w:pPr>
        <w:pStyle w:val="ListParagraph"/>
        <w:numPr>
          <w:ilvl w:val="1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The wave should be detected regardless of </w:t>
      </w:r>
      <w:proofErr w:type="spellStart"/>
      <w:r w:rsidRPr="000841E7">
        <w:rPr>
          <w:highlight w:val="yellow"/>
        </w:rPr>
        <w:t>it's</w:t>
      </w:r>
      <w:proofErr w:type="spellEnd"/>
      <w:r w:rsidRPr="000841E7">
        <w:rPr>
          <w:highlight w:val="yellow"/>
        </w:rPr>
        <w:t xml:space="preserve"> temporal placement/offset. </w:t>
      </w:r>
    </w:p>
    <w:p w14:paraId="358B0A64" w14:textId="77777777" w:rsidR="00404438" w:rsidRPr="000841E7" w:rsidRDefault="00404438" w:rsidP="00404438">
      <w:pPr>
        <w:pStyle w:val="ListParagraph"/>
        <w:numPr>
          <w:ilvl w:val="1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Polar opposite waves should both be recognised as waves. </w:t>
      </w:r>
    </w:p>
    <w:p w14:paraId="321A5E3E" w14:textId="77777777" w:rsidR="00404438" w:rsidRPr="000841E7" w:rsidRDefault="00404438" w:rsidP="00404438">
      <w:pPr>
        <w:pStyle w:val="ListParagraph"/>
        <w:numPr>
          <w:ilvl w:val="1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The wave should be detected regardless of </w:t>
      </w:r>
      <w:proofErr w:type="spellStart"/>
      <w:r w:rsidRPr="000841E7">
        <w:rPr>
          <w:highlight w:val="yellow"/>
        </w:rPr>
        <w:t>it's</w:t>
      </w:r>
      <w:proofErr w:type="spellEnd"/>
      <w:r w:rsidRPr="000841E7">
        <w:rPr>
          <w:highlight w:val="yellow"/>
        </w:rPr>
        <w:t xml:space="preserve"> time width. (But does convolution solve this one?)</w:t>
      </w:r>
    </w:p>
    <w:p w14:paraId="6D990317" w14:textId="77777777" w:rsidR="00404438" w:rsidRPr="00404438" w:rsidRDefault="00404438" w:rsidP="00404438"/>
    <w:p w14:paraId="2DB1A427" w14:textId="77777777" w:rsidR="00F36D15" w:rsidRPr="00F36D15" w:rsidRDefault="00F36D15" w:rsidP="00F36D15"/>
    <w:p w14:paraId="08456FD0" w14:textId="01283424" w:rsidR="00F36D15" w:rsidRDefault="00E322FA" w:rsidP="00AC18D6">
      <w:r>
        <w:t>References</w:t>
      </w:r>
    </w:p>
    <w:p w14:paraId="7E64E82B" w14:textId="7BFC6EF9" w:rsidR="000A7237" w:rsidRDefault="000A7237" w:rsidP="00AC18D6">
      <w:r>
        <w:t>\cite{</w:t>
      </w:r>
      <w:r w:rsidRPr="000A7237">
        <w:t>groppa2012practical</w:t>
      </w:r>
      <w:r>
        <w:t xml:space="preserve">} </w:t>
      </w:r>
      <w:proofErr w:type="spellStart"/>
      <w:r w:rsidRPr="000A7237">
        <w:t>Groppa</w:t>
      </w:r>
      <w:proofErr w:type="spellEnd"/>
      <w:r w:rsidRPr="000A7237">
        <w:t xml:space="preserve">, S., Oliviero, A., Eisen, A., Quartarone, A., Cohen, L.G., Mall, V., Kaelin-Lang, A., Mima, T., Rossi, S., </w:t>
      </w:r>
      <w:proofErr w:type="spellStart"/>
      <w:r w:rsidRPr="000A7237">
        <w:t>Thickbroom</w:t>
      </w:r>
      <w:proofErr w:type="spellEnd"/>
      <w:r w:rsidRPr="000A7237">
        <w:t>, G.W. and Rossini, P.M., 2012. A practical guide to diagnostic transcranial magnetic stimulation: report of an IFCN committee. Clinical Neurophysiology, 123(5), pp.858-882.</w:t>
      </w:r>
    </w:p>
    <w:p w14:paraId="04019F32" w14:textId="66E9437E" w:rsidR="00557E34" w:rsidRDefault="000A7237" w:rsidP="00E322FA">
      <w:r>
        <w:t>\cite{</w:t>
      </w:r>
      <w:r w:rsidR="00557E34" w:rsidRPr="00557E34">
        <w:t>fournier2019clinical</w:t>
      </w:r>
      <w:r w:rsidR="00557E34">
        <w:t xml:space="preserve">} </w:t>
      </w:r>
      <w:r w:rsidR="00557E34" w:rsidRPr="00557E34">
        <w:t>Fournier, E. and Tabti, N., 2019. Clinical electrophysiology of muscle diseases and episodic muscle disorders. Handbook of Clinical Neurology, 161, pp.269-280.</w:t>
      </w:r>
    </w:p>
    <w:p w14:paraId="1DCF390E" w14:textId="32E2059E" w:rsidR="00557E34" w:rsidRDefault="00557E34" w:rsidP="00E322FA">
      <w:r>
        <w:lastRenderedPageBreak/>
        <w:t>\cite{g</w:t>
      </w:r>
      <w:r w:rsidRPr="00557E34">
        <w:t>ugino</w:t>
      </w:r>
      <w:r>
        <w:t>1990s</w:t>
      </w:r>
      <w:r w:rsidRPr="00557E34">
        <w:t>omatosensory</w:t>
      </w:r>
      <w:r>
        <w:t xml:space="preserve">} </w:t>
      </w:r>
      <w:r w:rsidRPr="00557E34">
        <w:t xml:space="preserve">V. Gugino and R. J. Chabot, “Somatosensory evoked potentials.,” International </w:t>
      </w:r>
      <w:proofErr w:type="spellStart"/>
      <w:r w:rsidRPr="00557E34">
        <w:t>anesthesiology</w:t>
      </w:r>
      <w:proofErr w:type="spellEnd"/>
      <w:r w:rsidRPr="00557E34">
        <w:t xml:space="preserve"> clinics, vol. 28, no. 3, pp. 154–164, 1990.</w:t>
      </w:r>
    </w:p>
    <w:p w14:paraId="23FE5DDC" w14:textId="70638421" w:rsidR="00557E34" w:rsidRDefault="00557E34" w:rsidP="00E322FA"/>
    <w:p w14:paraId="34D0E392" w14:textId="7387D5F2" w:rsidR="00557E34" w:rsidRDefault="00557E34" w:rsidP="00E322FA">
      <w:r>
        <w:t xml:space="preserve">\cite{luck2012event} </w:t>
      </w:r>
      <w:r w:rsidRPr="00557E34">
        <w:t xml:space="preserve">Luck, S. J. (2012). Event-related potentials. In H. Cooper, P. M. Camic, D. L. Long, A. T. Panter, D. </w:t>
      </w:r>
      <w:proofErr w:type="spellStart"/>
      <w:r w:rsidRPr="00557E34">
        <w:t>Rindskopf</w:t>
      </w:r>
      <w:proofErr w:type="spellEnd"/>
      <w:r w:rsidRPr="00557E34">
        <w:t>, &amp; K. J. Sher (Eds.), APA handbook of research methods in psychology, Vol. 1. Foundations, planning, measures, and psychometrics (pp. 523–546). American Psychological Association. https://doi.org/10.1037/13619-028</w:t>
      </w:r>
    </w:p>
    <w:p w14:paraId="752498CA" w14:textId="505FBDCF" w:rsidR="00E322FA" w:rsidRDefault="00B216DC" w:rsidP="00E322FA">
      <w:r>
        <w:t xml:space="preserve">\cite{mrachacz-Kersting2012precise} </w:t>
      </w:r>
      <w:r w:rsidR="00E322FA">
        <w:t xml:space="preserve">N. </w:t>
      </w:r>
      <w:proofErr w:type="spellStart"/>
      <w:r w:rsidR="00E322FA">
        <w:t>Mrachacz</w:t>
      </w:r>
      <w:proofErr w:type="spellEnd"/>
      <w:r w:rsidR="00E322FA">
        <w:t>-Kersting, S. R. Kristensen, I. K. Niazi, and D. Farina, “Precise temporal association between cortical potentials evoked by motor imagination and afference induces cortical plasticity.,” The Journal of Physiology, vol. 590, no. Pt 7, pp. 1669–</w:t>
      </w:r>
      <w:r>
        <w:t xml:space="preserve"> </w:t>
      </w:r>
      <w:r w:rsidR="00E322FA">
        <w:t>1682, 2012.</w:t>
      </w:r>
    </w:p>
    <w:p w14:paraId="6F0C3382" w14:textId="46314CE8" w:rsidR="00B216DC" w:rsidRPr="00AC18D6" w:rsidRDefault="00B216DC" w:rsidP="00E322FA">
      <w:r>
        <w:t>\cite{</w:t>
      </w:r>
      <w:r w:rsidRPr="00B216DC">
        <w:t>oh2022cervical</w:t>
      </w:r>
      <w:r>
        <w:t xml:space="preserve">} </w:t>
      </w:r>
      <w:r w:rsidRPr="00B216DC">
        <w:t xml:space="preserve">Oh J, Steele AG, Varghese B, Martin CA, Scheffler MS, Markley RL, Lo YK, Sayenko DG. Cervical transcutaneous spinal stimulation for spinal motor mapping. </w:t>
      </w:r>
      <w:proofErr w:type="spellStart"/>
      <w:r w:rsidRPr="00B216DC">
        <w:t>iScience</w:t>
      </w:r>
      <w:proofErr w:type="spellEnd"/>
      <w:r w:rsidRPr="00B216DC">
        <w:t>. 2022 Oct 21;25(10).</w:t>
      </w:r>
    </w:p>
    <w:sectPr w:rsidR="00B216DC" w:rsidRPr="00AC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A55F9"/>
    <w:multiLevelType w:val="hybridMultilevel"/>
    <w:tmpl w:val="4F7A4E02"/>
    <w:lvl w:ilvl="0" w:tplc="8F1A3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861F1"/>
    <w:multiLevelType w:val="hybridMultilevel"/>
    <w:tmpl w:val="F73AFF40"/>
    <w:lvl w:ilvl="0" w:tplc="453C8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D6"/>
    <w:rsid w:val="00010186"/>
    <w:rsid w:val="00016B4A"/>
    <w:rsid w:val="000346EA"/>
    <w:rsid w:val="00052C27"/>
    <w:rsid w:val="000841E7"/>
    <w:rsid w:val="000977DF"/>
    <w:rsid w:val="000A6A10"/>
    <w:rsid w:val="000A7237"/>
    <w:rsid w:val="000C4B0C"/>
    <w:rsid w:val="000C7C39"/>
    <w:rsid w:val="000D53C8"/>
    <w:rsid w:val="00100E3A"/>
    <w:rsid w:val="00114AA6"/>
    <w:rsid w:val="00137A6A"/>
    <w:rsid w:val="001433C3"/>
    <w:rsid w:val="001448D5"/>
    <w:rsid w:val="00153F6E"/>
    <w:rsid w:val="00167BE1"/>
    <w:rsid w:val="001A17DA"/>
    <w:rsid w:val="001A2E71"/>
    <w:rsid w:val="001B5257"/>
    <w:rsid w:val="001E0756"/>
    <w:rsid w:val="001E7815"/>
    <w:rsid w:val="00215830"/>
    <w:rsid w:val="00251FDF"/>
    <w:rsid w:val="00296297"/>
    <w:rsid w:val="002E49B0"/>
    <w:rsid w:val="002E7CE8"/>
    <w:rsid w:val="00302C71"/>
    <w:rsid w:val="0032456A"/>
    <w:rsid w:val="003471C7"/>
    <w:rsid w:val="00382FCD"/>
    <w:rsid w:val="003C4FFF"/>
    <w:rsid w:val="003D37EB"/>
    <w:rsid w:val="003F617E"/>
    <w:rsid w:val="00404438"/>
    <w:rsid w:val="00407E2A"/>
    <w:rsid w:val="00421997"/>
    <w:rsid w:val="00423805"/>
    <w:rsid w:val="004333C6"/>
    <w:rsid w:val="0044237E"/>
    <w:rsid w:val="004467D4"/>
    <w:rsid w:val="00450935"/>
    <w:rsid w:val="004651EA"/>
    <w:rsid w:val="00487AA6"/>
    <w:rsid w:val="00495EEF"/>
    <w:rsid w:val="004B1330"/>
    <w:rsid w:val="004C2CA5"/>
    <w:rsid w:val="004C7918"/>
    <w:rsid w:val="004D7714"/>
    <w:rsid w:val="00507860"/>
    <w:rsid w:val="0052715B"/>
    <w:rsid w:val="00557E34"/>
    <w:rsid w:val="005669AD"/>
    <w:rsid w:val="00573F3B"/>
    <w:rsid w:val="00583E3D"/>
    <w:rsid w:val="00596111"/>
    <w:rsid w:val="00597FFC"/>
    <w:rsid w:val="005F7997"/>
    <w:rsid w:val="006021F0"/>
    <w:rsid w:val="00636C52"/>
    <w:rsid w:val="00665175"/>
    <w:rsid w:val="00682D4C"/>
    <w:rsid w:val="00682D98"/>
    <w:rsid w:val="00687F2C"/>
    <w:rsid w:val="006A46E7"/>
    <w:rsid w:val="006B4400"/>
    <w:rsid w:val="006C62AF"/>
    <w:rsid w:val="00716181"/>
    <w:rsid w:val="00771A4C"/>
    <w:rsid w:val="00782A52"/>
    <w:rsid w:val="007925A5"/>
    <w:rsid w:val="007953C0"/>
    <w:rsid w:val="007C72AF"/>
    <w:rsid w:val="007D2B1E"/>
    <w:rsid w:val="0081605D"/>
    <w:rsid w:val="00845029"/>
    <w:rsid w:val="008818A5"/>
    <w:rsid w:val="00892C13"/>
    <w:rsid w:val="00892EA4"/>
    <w:rsid w:val="00893F9F"/>
    <w:rsid w:val="008D085C"/>
    <w:rsid w:val="008D49E8"/>
    <w:rsid w:val="008E7F9D"/>
    <w:rsid w:val="008F0FF0"/>
    <w:rsid w:val="00912854"/>
    <w:rsid w:val="00935163"/>
    <w:rsid w:val="009439EC"/>
    <w:rsid w:val="00975B43"/>
    <w:rsid w:val="00990DCE"/>
    <w:rsid w:val="009954A5"/>
    <w:rsid w:val="009A606D"/>
    <w:rsid w:val="009C399D"/>
    <w:rsid w:val="009E2B64"/>
    <w:rsid w:val="009F0819"/>
    <w:rsid w:val="00A1753E"/>
    <w:rsid w:val="00A778A7"/>
    <w:rsid w:val="00A80101"/>
    <w:rsid w:val="00A956BF"/>
    <w:rsid w:val="00AA48E2"/>
    <w:rsid w:val="00AB084E"/>
    <w:rsid w:val="00AC18D6"/>
    <w:rsid w:val="00AC56D5"/>
    <w:rsid w:val="00AD4010"/>
    <w:rsid w:val="00B106ED"/>
    <w:rsid w:val="00B216DC"/>
    <w:rsid w:val="00B23468"/>
    <w:rsid w:val="00B358C8"/>
    <w:rsid w:val="00B36708"/>
    <w:rsid w:val="00B55CB9"/>
    <w:rsid w:val="00B61038"/>
    <w:rsid w:val="00B75957"/>
    <w:rsid w:val="00B90E8C"/>
    <w:rsid w:val="00C11F73"/>
    <w:rsid w:val="00C43490"/>
    <w:rsid w:val="00C46214"/>
    <w:rsid w:val="00C670FB"/>
    <w:rsid w:val="00C81F1E"/>
    <w:rsid w:val="00C9002F"/>
    <w:rsid w:val="00CE445C"/>
    <w:rsid w:val="00CF1D3E"/>
    <w:rsid w:val="00D06BAA"/>
    <w:rsid w:val="00D71193"/>
    <w:rsid w:val="00D76C9E"/>
    <w:rsid w:val="00D82A33"/>
    <w:rsid w:val="00D93AA6"/>
    <w:rsid w:val="00DA6422"/>
    <w:rsid w:val="00DD61E1"/>
    <w:rsid w:val="00E01231"/>
    <w:rsid w:val="00E21E42"/>
    <w:rsid w:val="00E322FA"/>
    <w:rsid w:val="00E458AD"/>
    <w:rsid w:val="00E56035"/>
    <w:rsid w:val="00E84216"/>
    <w:rsid w:val="00EA57F4"/>
    <w:rsid w:val="00EB6FA2"/>
    <w:rsid w:val="00EC5E7B"/>
    <w:rsid w:val="00ED21B0"/>
    <w:rsid w:val="00F227D4"/>
    <w:rsid w:val="00F30DE4"/>
    <w:rsid w:val="00F311A3"/>
    <w:rsid w:val="00F36D15"/>
    <w:rsid w:val="00F44F3B"/>
    <w:rsid w:val="00F461B1"/>
    <w:rsid w:val="00F769DE"/>
    <w:rsid w:val="00F80500"/>
    <w:rsid w:val="00F9624B"/>
    <w:rsid w:val="00FB5E2D"/>
    <w:rsid w:val="00FB79B3"/>
    <w:rsid w:val="00FC00A6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824A"/>
  <w15:chartTrackingRefBased/>
  <w15:docId w15:val="{8209B856-9884-4F7F-998A-F8940AC0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41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04438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81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6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B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1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712875-1D9F-4FFA-AD79-85EEA2B5865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36222-7B79-4CD3-AB43-EA76D83A8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2527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 Osuagwu</dc:creator>
  <cp:keywords/>
  <dc:description/>
  <cp:lastModifiedBy>Bethel Osuagwu</cp:lastModifiedBy>
  <cp:revision>100</cp:revision>
  <dcterms:created xsi:type="dcterms:W3CDTF">2023-08-05T15:24:00Z</dcterms:created>
  <dcterms:modified xsi:type="dcterms:W3CDTF">2023-11-18T22:29:00Z</dcterms:modified>
</cp:coreProperties>
</file>