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Model Optimization Across Transformer Architectures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Summary Report — BERT (NLP) vs. ViT (Vision)</w:t>
      </w:r>
    </w:p>
    <w:p>
      <w:pPr>
        <w:pStyle w:val="Heading1"/>
        <w:spacing w:after="150" w:before="300"/>
      </w:pPr>
      <w:r>
        <w:t xml:space="preserve">1. Introduction and Objective</w:t>
      </w:r>
    </w:p>
    <w:p>
      <w:pPr>
        <w:spacing w:after="120"/>
      </w:pPr>
      <w:r>
        <w:t xml:space="preserve">Modern Transformer-based models achieve strong task performance but are frequently too large, slow, or expensive to deploy in production. This project investigates how a common set of model optimization techniques — quantization, pruning, knowledge distillation, and (as a bonus) low-rank factorization — behave when applied to two Transformer architectures drawn from different domains: BERT (natural language processing) and ViT (computer vision).</w:t>
      </w:r>
    </w:p>
    <w:p>
      <w:pPr>
        <w:spacing w:after="120"/>
      </w:pPr>
      <w:r>
        <w:t xml:space="preserve">Research question: How do model optimization techniques behave across Transformer architectures in NLP and computer vision, and does the best optimization strategy depend on the architecture and domain?</w:t>
      </w:r>
    </w:p>
    <w:p>
      <w:pPr>
        <w:pBdr>
          <w:left w:val="single" w:color="999999" w:sz="12" w:space="8"/>
        </w:pBdr>
        <w:spacing w:after="160"/>
      </w:pPr>
      <w:r>
        <w:rPr>
          <w:i/>
          <w:iCs/>
          <w:color w:val="555555"/>
        </w:rPr>
        <w:t xml:space="preserve">This report accompanies a GitHub repository (model-optimization/) containing the full implementation. Where this report references specific numeric results, they are produced by running the repository's scripts end-to-end (see README.md) and populating results/metrics.csv; this document is structured to be completed directly from that file.</w:t>
      </w:r>
    </w:p>
    <w:p>
      <w:pPr>
        <w:pStyle w:val="Heading1"/>
        <w:spacing w:after="150" w:before="300"/>
      </w:pPr>
      <w:r>
        <w:t xml:space="preserve">2. Models and Datasets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600"/>
      </w:tblGrid>
      <w:t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NLP branch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Vision branch</w:t>
            </w:r>
          </w:p>
        </w:tc>
      </w:tr>
      <w:tr>
        <w:tc>
          <w:tcPr>
            <w:tcW w:type="dxa" w:w="2200"/>
          </w:tcPr>
          <w:p>
            <w:r>
              <w:t xml:space="preserve">Model</w:t>
            </w:r>
          </w:p>
        </w:tc>
        <w:tc>
          <w:tcPr>
            <w:tcW w:type="dxa" w:w="3600"/>
          </w:tcPr>
          <w:p>
            <w:r>
              <w:t xml:space="preserve">BERT-base-uncased</w:t>
            </w:r>
          </w:p>
        </w:tc>
        <w:tc>
          <w:tcPr>
            <w:tcW w:type="dxa" w:w="3600"/>
          </w:tcPr>
          <w:p>
            <w:r>
              <w:t xml:space="preserve">ViT-Base-Patch16-224</w:t>
            </w:r>
          </w:p>
        </w:tc>
      </w:tr>
      <w:tr>
        <w:tc>
          <w:tcPr>
            <w:tcW w:type="dxa" w:w="2200"/>
          </w:tcPr>
          <w:p>
            <w:r>
              <w:t xml:space="preserve">Checkpoint</w:t>
            </w:r>
          </w:p>
        </w:tc>
        <w:tc>
          <w:tcPr>
            <w:tcW w:type="dxa" w:w="3600"/>
          </w:tcPr>
          <w:p>
            <w:r>
              <w:t xml:space="preserve">google-bert/bert-base-uncased</w:t>
            </w:r>
          </w:p>
        </w:tc>
        <w:tc>
          <w:tcPr>
            <w:tcW w:type="dxa" w:w="3600"/>
          </w:tcPr>
          <w:p>
            <w:r>
              <w:t xml:space="preserve">google/vit-base-patch16-224</w:t>
            </w:r>
          </w:p>
        </w:tc>
      </w:tr>
      <w:tr>
        <w:tc>
          <w:tcPr>
            <w:tcW w:type="dxa" w:w="2200"/>
          </w:tcPr>
          <w:p>
            <w:r>
              <w:t xml:space="preserve">Task</w:t>
            </w:r>
          </w:p>
        </w:tc>
        <w:tc>
          <w:tcPr>
            <w:tcW w:type="dxa" w:w="3600"/>
          </w:tcPr>
          <w:p>
            <w:r>
              <w:t xml:space="preserve">Multi-class text classification</w:t>
            </w:r>
          </w:p>
        </w:tc>
        <w:tc>
          <w:tcPr>
            <w:tcW w:type="dxa" w:w="3600"/>
          </w:tcPr>
          <w:p>
            <w:r>
              <w:t xml:space="preserve">Multi-class image classification</w:t>
            </w:r>
          </w:p>
        </w:tc>
      </w:tr>
      <w:tr>
        <w:tc>
          <w:tcPr>
            <w:tcW w:type="dxa" w:w="2200"/>
          </w:tcPr>
          <w:p>
            <w:r>
              <w:t xml:space="preserve">Dataset</w:t>
            </w:r>
          </w:p>
        </w:tc>
        <w:tc>
          <w:tcPr>
            <w:tcW w:type="dxa" w:w="3600"/>
          </w:tcPr>
          <w:p>
            <w:r>
              <w:t xml:space="preserve">AG News (4 classes)</w:t>
            </w:r>
          </w:p>
        </w:tc>
        <w:tc>
          <w:tcPr>
            <w:tcW w:type="dxa" w:w="3600"/>
          </w:tcPr>
          <w:p>
            <w:r>
              <w:t xml:space="preserve">CIFAR-10 (10 classes)</w:t>
            </w:r>
          </w:p>
        </w:tc>
      </w:tr>
      <w:tr>
        <w:tc>
          <w:tcPr>
            <w:tcW w:type="dxa" w:w="2200"/>
          </w:tcPr>
          <w:p>
            <w:r>
              <w:t xml:space="preserve">Source</w:t>
            </w:r>
          </w:p>
        </w:tc>
        <w:tc>
          <w:tcPr>
            <w:tcW w:type="dxa" w:w="3600"/>
          </w:tcPr>
          <w:p>
            <w:r>
              <w:t xml:space="preserve">Hugging Face Transformers / Datasets</w:t>
            </w:r>
          </w:p>
        </w:tc>
        <w:tc>
          <w:tcPr>
            <w:tcW w:type="dxa" w:w="3600"/>
          </w:tcPr>
          <w:p>
            <w:r>
              <w:t xml:space="preserve">Hugging Face Transformers / Datasets</w:t>
            </w:r>
          </w:p>
        </w:tc>
      </w:tr>
    </w:tbl>
    <w:p>
      <w:pPr>
        <w:pStyle w:val="Heading1"/>
        <w:spacing w:after="150" w:before="300"/>
      </w:pPr>
      <w:r>
        <w:t xml:space="preserve">3. Experimental Methodology</w:t>
      </w:r>
    </w:p>
    <w:p>
      <w:pPr>
        <w:pStyle w:val="Heading2"/>
        <w:spacing w:after="100" w:before="200"/>
      </w:pPr>
      <w:r>
        <w:t xml:space="preserve">3.1 Stages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Stage 0 — record baseline info about each original pretrained checkpoint (architecture, parameter count, config) before any modification.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Stage 1 — fine-tune each model on its task-specific dataset; establish the task-specific baseline; measure baseline metrics under fixed evaluation conditions.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Stage 2 — apply each optimization technique independently to its baseline; save optimized checkpoints and structured results; document all settings/hyperparameters.</w:t>
      </w:r>
    </w:p>
    <w:p>
      <w:pPr>
        <w:pStyle w:val="Heading2"/>
        <w:spacing w:after="100" w:before="200"/>
      </w:pPr>
      <w:r>
        <w:t xml:space="preserve">3.2 Techniques applied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Quantization — post-training dynamic INT8 (fast path), post-training static INT8 with explicit calibration, and a QAT scaffold for accuracy recovery.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Pruning — unstructured L1 magnitude pruning at two sparsity levels (30%, 50%), plus a structured channel-pruning implementation for hardware-realized speedup.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Knowledge Distillation — a smaller student trained against the fine-tuned baseline as teacher, combining hard-label cross-entropy and temperature-scaled soft-target KL-divergence loss.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Low-Rank Factorization (bonus) — SVD factorization of BERT's dense/feed-forward weight matrices into two smaller matrices at a chosen rank.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Combined — pruning followed by quantization, evaluated separately from every independent single-technique result.</w:t>
      </w:r>
    </w:p>
    <w:p>
      <w:pPr>
        <w:pStyle w:val="Heading2"/>
        <w:spacing w:after="100" w:before="200"/>
      </w:pPr>
      <w:r>
        <w:t xml:space="preserve">3.3 Experimental fairness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Identical test split used for baseline and every optimized variant, per architecture.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preprocessing (tokenizer for BERT, image processor for ViT) across all variants.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Latency measured with warm-up runs discarded, then averaged over repeated timed runs.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Random seeds fixed (42) and recorded; exact framework/library versions and hardware logged with every experiment.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optimization hyperparameters explicitly recorded (quantization backend, pruning amount/criterion, distillation temperature/alpha, factorization rank).</w:t>
      </w:r>
    </w:p>
    <w:p>
      <w:pPr>
        <w:pStyle w:val="Heading1"/>
        <w:spacing w:after="150" w:before="300"/>
      </w:pPr>
      <w:r>
        <w:t xml:space="preserve">4. Baseline Results</w:t>
      </w:r>
    </w:p>
    <w:p>
      <w:pPr>
        <w:pBdr>
          <w:left w:val="single" w:color="999999" w:sz="12" w:space="8"/>
        </w:pBdr>
        <w:spacing w:after="160"/>
      </w:pPr>
      <w:r>
        <w:rPr>
          <w:i/>
          <w:iCs/>
          <w:color w:val="555555"/>
        </w:rPr>
        <w:t xml:space="preserve">Populate from results/metrics.csv rows 'bert_baseline_eval' and 'vit_baseline_eval' after running scripts/train_bert.py, scripts/train_vit.py, and scripts/run_experiments.py.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200"/>
      </w:tblGrid>
      <w:t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BERT baseline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ViT baseline</w:t>
            </w:r>
          </w:p>
        </w:tc>
      </w:tr>
      <w:tr>
        <w:tc>
          <w:tcPr>
            <w:tcW w:type="dxa" w:w="3000"/>
          </w:tcPr>
          <w:p>
            <w:r>
              <w:t xml:space="preserve">Accuracy</w:t>
            </w:r>
          </w:p>
        </w:tc>
        <w:tc>
          <w:tcPr>
            <w:tcW w:type="dxa" w:w="3200"/>
          </w:tcPr>
          <w:p>
            <w:r>
              <w:t xml:space="preserve">—</w:t>
            </w:r>
          </w:p>
        </w:tc>
        <w:tc>
          <w:tcPr>
            <w:tcW w:type="dxa" w:w="3200"/>
          </w:tcPr>
          <w:p>
            <w:r>
              <w:t xml:space="preserve">—</w:t>
            </w:r>
          </w:p>
        </w:tc>
      </w:tr>
      <w:tr>
        <w:tc>
          <w:tcPr>
            <w:tcW w:type="dxa" w:w="3000"/>
          </w:tcPr>
          <w:p>
            <w:r>
              <w:t xml:space="preserve">Macro F1</w:t>
            </w:r>
          </w:p>
        </w:tc>
        <w:tc>
          <w:tcPr>
            <w:tcW w:type="dxa" w:w="3200"/>
          </w:tcPr>
          <w:p>
            <w:r>
              <w:t xml:space="preserve">—</w:t>
            </w:r>
          </w:p>
        </w:tc>
        <w:tc>
          <w:tcPr>
            <w:tcW w:type="dxa" w:w="3200"/>
          </w:tcPr>
          <w:p>
            <w:r>
              <w:t xml:space="preserve">—</w:t>
            </w:r>
          </w:p>
        </w:tc>
      </w:tr>
      <w:tr>
        <w:tc>
          <w:tcPr>
            <w:tcW w:type="dxa" w:w="3000"/>
          </w:tcPr>
          <w:p>
            <w:r>
              <w:t xml:space="preserve">Model size (MB)</w:t>
            </w:r>
          </w:p>
        </w:tc>
        <w:tc>
          <w:tcPr>
            <w:tcW w:type="dxa" w:w="3200"/>
          </w:tcPr>
          <w:p>
            <w:r>
              <w:t xml:space="preserve">—</w:t>
            </w:r>
          </w:p>
        </w:tc>
        <w:tc>
          <w:tcPr>
            <w:tcW w:type="dxa" w:w="3200"/>
          </w:tcPr>
          <w:p>
            <w:r>
              <w:t xml:space="preserve">—</w:t>
            </w:r>
          </w:p>
        </w:tc>
      </w:tr>
      <w:tr>
        <w:tc>
          <w:tcPr>
            <w:tcW w:type="dxa" w:w="3000"/>
          </w:tcPr>
          <w:p>
            <w:r>
              <w:t xml:space="preserve">Total parameters</w:t>
            </w:r>
          </w:p>
        </w:tc>
        <w:tc>
          <w:tcPr>
            <w:tcW w:type="dxa" w:w="3200"/>
          </w:tcPr>
          <w:p>
            <w:r>
              <w:t xml:space="preserve">—</w:t>
            </w:r>
          </w:p>
        </w:tc>
        <w:tc>
          <w:tcPr>
            <w:tcW w:type="dxa" w:w="3200"/>
          </w:tcPr>
          <w:p>
            <w:r>
              <w:t xml:space="preserve">—</w:t>
            </w:r>
          </w:p>
        </w:tc>
      </w:tr>
      <w:tr>
        <w:tc>
          <w:tcPr>
            <w:tcW w:type="dxa" w:w="3000"/>
          </w:tcPr>
          <w:p>
            <w:r>
              <w:t xml:space="preserve">Latency (ms/batch)</w:t>
            </w:r>
          </w:p>
        </w:tc>
        <w:tc>
          <w:tcPr>
            <w:tcW w:type="dxa" w:w="3200"/>
          </w:tcPr>
          <w:p>
            <w:r>
              <w:t xml:space="preserve">—</w:t>
            </w:r>
          </w:p>
        </w:tc>
        <w:tc>
          <w:tcPr>
            <w:tcW w:type="dxa" w:w="3200"/>
          </w:tcPr>
          <w:p>
            <w:r>
              <w:t xml:space="preserve">—</w:t>
            </w:r>
          </w:p>
        </w:tc>
      </w:tr>
    </w:tbl>
    <w:p>
      <w:pPr>
        <w:pStyle w:val="Heading1"/>
        <w:spacing w:after="150" w:before="300"/>
      </w:pPr>
      <w:r>
        <w:t xml:space="preserve">5. Quantization Results</w:t>
      </w:r>
    </w:p>
    <w:p>
      <w:pPr>
        <w:pBdr>
          <w:left w:val="single" w:color="999999" w:sz="12" w:space="8"/>
        </w:pBdr>
        <w:spacing w:after="160"/>
      </w:pPr>
      <w:r>
        <w:rPr>
          <w:i/>
          <w:iCs/>
          <w:color w:val="555555"/>
        </w:rPr>
        <w:t xml:space="preserve">Populate from 'bert_quantized' / 'vit_quantized' rows. Expect: near-identical or slightly reduced accuracy, meaningfully smaller size_mb (INT8 vs FP32 storage), CPU-only latency change since PyTorch's native dynamic quantization backend does not accelerate on CUDA.</w:t>
      </w:r>
    </w:p>
    <w:p>
      <w:pPr>
        <w:pStyle w:val="Heading1"/>
        <w:spacing w:after="150" w:before="300"/>
      </w:pPr>
      <w:r>
        <w:t xml:space="preserve">6. Pruning Results</w:t>
      </w:r>
    </w:p>
    <w:p>
      <w:pPr>
        <w:pBdr>
          <w:left w:val="single" w:color="999999" w:sz="12" w:space="8"/>
        </w:pBdr>
        <w:spacing w:after="160"/>
      </w:pPr>
      <w:r>
        <w:rPr>
          <w:i/>
          <w:iCs/>
          <w:color w:val="555555"/>
        </w:rPr>
        <w:t xml:space="preserve">Populate from 'bert_pruned_0.3' / 'bert_pruned_0.5' / 'vit_pruned_0.3' / 'vit_pruned_0.5' rows. Expect sparsity_pct to rise with the pruning amount while size_mb and latency stay roughly flat — the checklist explicitly asks to discuss why sparsity may not produce proportional speedups: unstructured masking zeros individual weights without changing the underlying dense-tensor shape, so standard vectorized hardware performs the same matrix multiply either way.</w:t>
      </w:r>
    </w:p>
    <w:p>
      <w:pPr>
        <w:pStyle w:val="Heading1"/>
        <w:spacing w:after="150" w:before="300"/>
      </w:pPr>
      <w:r>
        <w:t xml:space="preserve">7. Knowledge Distillation Results</w:t>
      </w:r>
    </w:p>
    <w:p>
      <w:pPr>
        <w:pBdr>
          <w:left w:val="single" w:color="999999" w:sz="12" w:space="8"/>
        </w:pBdr>
        <w:spacing w:after="160"/>
      </w:pPr>
      <w:r>
        <w:rPr>
          <w:i/>
          <w:iCs/>
          <w:color w:val="555555"/>
        </w:rPr>
        <w:t xml:space="preserve">Populate from 'bert_distilled' / 'vit_distilled' rows (4-layer student vs. 12-layer teacher). Expect a substantial parameter/size reduction with an accuracy trade-off that depends on how much capacity the task needs; compare against an equivalently-sized model trained from scratch (without distillation) if time permits, per Section 8 of the design checklist.</w:t>
      </w:r>
    </w:p>
    <w:p>
      <w:pPr>
        <w:pStyle w:val="Heading1"/>
        <w:spacing w:after="150" w:before="300"/>
      </w:pPr>
      <w:r>
        <w:t xml:space="preserve">8. Bonus Optimization Results — Low-Rank Factorization</w:t>
      </w:r>
    </w:p>
    <w:p>
      <w:pPr>
        <w:pBdr>
          <w:left w:val="single" w:color="999999" w:sz="12" w:space="8"/>
        </w:pBdr>
        <w:spacing w:after="160"/>
      </w:pPr>
      <w:r>
        <w:rPr>
          <w:i/>
          <w:iCs/>
          <w:color w:val="555555"/>
        </w:rPr>
        <w:t xml:space="preserve">Populate from 'bert_low_rank' row. Report the chosen rank, the resulting parameter reduction (src/optimizations/low_rank.py's parameter_savings helper gives the exact break-even rank below which factorization is a net parameter win), and the accuracy impact before any recovery fine-tuning.</w:t>
      </w:r>
    </w:p>
    <w:p>
      <w:pPr>
        <w:pStyle w:val="Heading1"/>
        <w:spacing w:after="150" w:before="300"/>
      </w:pPr>
      <w:r>
        <w:t xml:space="preserve">9. Cross-Architecture Comparison</w:t>
      </w:r>
    </w:p>
    <w:p>
      <w:pPr>
        <w:spacing w:after="120"/>
      </w:pPr>
      <w:r>
        <w:t xml:space="preserve">Comparing BERT and ViT directly requires care: the two models differ in parameter count, input modality, and task difficulty, so raw metric deltas are compared using normalized/relative measures (performance_retention_pct, compression_ratio) rather than absolute values wherever possible.</w:t>
      </w:r>
    </w:p>
    <w:p>
      <w:pPr>
        <w:pBdr>
          <w:left w:val="single" w:color="999999" w:sz="12" w:space="8"/>
        </w:pBdr>
        <w:spacing w:after="160"/>
      </w:pPr>
      <w:r>
        <w:rPr>
          <w:i/>
          <w:iCs/>
          <w:color w:val="555555"/>
        </w:rPr>
        <w:t xml:space="preserve">Once results/metrics.csv is populated for both architectures: identify the best accuracy-efficiency trade-off per architecture, the best compression technique, the best practical latency improvement, and whether optimization effectiveness is architecture/domain-dependent (e.g., does pruning hurt ViT's attention-heavy structure more than BERT's, given the two use different input tokenization schemes?).</w:t>
      </w:r>
    </w:p>
    <w:p>
      <w:pPr>
        <w:pStyle w:val="Heading1"/>
        <w:spacing w:after="150" w:before="300"/>
      </w:pPr>
      <w:r>
        <w:t xml:space="preserve">10. Trade-offs and Limitations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Unstructured pruning raises sparsity without proportional speedup on standard hardware — an expected, documented trade-off, not a defect.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Dynamic INT8 quantization via PyTorch's native backend runs on CPU only; a GPU-accelerated INT4 path (bitsandbytes) is implemented as a documented alternative but not exercised.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Knowledge distillation used a fixed 4-layer student architecture rather than a searched/tuned student size, given the project timeline.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Combined pruning+quantization results should be read separately from independent single-technique results, since accuracy losses from stacked compression techniques compound non-linearly rather than additively.</w:t>
      </w:r>
    </w:p>
    <w:p>
      <w:pPr>
        <w:pStyle w:val="Heading1"/>
        <w:spacing w:after="150" w:before="300"/>
      </w:pPr>
      <w:r>
        <w:t xml:space="preserve">11. Conclusions and Future Work</w:t>
      </w:r>
    </w:p>
    <w:p>
      <w:pPr>
        <w:pBdr>
          <w:left w:val="single" w:color="999999" w:sz="12" w:space="8"/>
        </w:pBdr>
        <w:spacing w:after="160"/>
      </w:pPr>
      <w:r>
        <w:rPr>
          <w:i/>
          <w:iCs/>
          <w:color w:val="555555"/>
        </w:rPr>
        <w:t xml:space="preserve">Summarize, once results are in: which technique wins on which axis (accuracy retention, compression, latency) for each architecture, and whether the answer to the research question is 'yes, optimization effectiveness is domain-dependent' or 'no, the same technique dominates regardless of architecture.' Future work: structured-pruning + compaction for a real latency win, QAT for aggressive INT4 targets, and a searched (rather than fixed-size) distillation student.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2026-09-07T06:08:25.798Z</dcterms:created>
  <dcterms:modified xsi:type="dcterms:W3CDTF">2026-09-07T06:08:25.806Z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