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AB259" w14:textId="77777777" w:rsidR="003D3F92" w:rsidRDefault="00C871A7">
      <w:pPr>
        <w:pStyle w:val="Title"/>
      </w:pPr>
      <w:r>
        <w:t>Design Pattern – Use Case Mapping</w:t>
      </w:r>
    </w:p>
    <w:p w14:paraId="6D18D5BF" w14:textId="77777777" w:rsidR="003D3F92" w:rsidRDefault="00C871A7">
      <w:pPr>
        <w:pStyle w:val="Heading1"/>
      </w:pPr>
      <w:proofErr w:type="spellStart"/>
      <w:r>
        <w:t>KitHub</w:t>
      </w:r>
      <w:proofErr w:type="spellEnd"/>
      <w:r>
        <w:t xml:space="preserve"> – Campus Used Equipment Library</w:t>
      </w:r>
    </w:p>
    <w:p w14:paraId="6CCD0349" w14:textId="77777777" w:rsidR="003D3F92" w:rsidRDefault="00C871A7">
      <w:r>
        <w:t xml:space="preserve">This document describes how software design patterns are applied to key use cases in the </w:t>
      </w:r>
      <w:proofErr w:type="spellStart"/>
      <w:r>
        <w:t>KitHub</w:t>
      </w:r>
      <w:proofErr w:type="spellEnd"/>
      <w:r>
        <w:t xml:space="preserve"> system to improve modularity, flexibility, and maintainability.</w:t>
      </w:r>
    </w:p>
    <w:p w14:paraId="1003EDF3" w14:textId="77777777" w:rsidR="003D3F92" w:rsidRDefault="00C871A7">
      <w:pPr>
        <w:pStyle w:val="Heading2"/>
      </w:pPr>
      <w:r>
        <w:t>Pattern–Use Case Mapping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3D3F92" w14:paraId="19850C02" w14:textId="77777777">
        <w:tc>
          <w:tcPr>
            <w:tcW w:w="2880" w:type="dxa"/>
          </w:tcPr>
          <w:p w14:paraId="01CC4272" w14:textId="77777777" w:rsidR="003D3F92" w:rsidRPr="006745EA" w:rsidRDefault="00C871A7">
            <w:pPr>
              <w:rPr>
                <w:b/>
                <w:bCs/>
              </w:rPr>
            </w:pPr>
            <w:r w:rsidRPr="006745EA">
              <w:rPr>
                <w:b/>
                <w:bCs/>
              </w:rPr>
              <w:t>Use Case</w:t>
            </w:r>
          </w:p>
        </w:tc>
        <w:tc>
          <w:tcPr>
            <w:tcW w:w="2880" w:type="dxa"/>
          </w:tcPr>
          <w:p w14:paraId="141DC79D" w14:textId="77777777" w:rsidR="003D3F92" w:rsidRPr="006745EA" w:rsidRDefault="00C871A7">
            <w:pPr>
              <w:rPr>
                <w:b/>
                <w:bCs/>
              </w:rPr>
            </w:pPr>
            <w:r w:rsidRPr="006745EA">
              <w:rPr>
                <w:b/>
                <w:bCs/>
              </w:rPr>
              <w:t>Design Pattern</w:t>
            </w:r>
          </w:p>
        </w:tc>
        <w:tc>
          <w:tcPr>
            <w:tcW w:w="2880" w:type="dxa"/>
          </w:tcPr>
          <w:p w14:paraId="557F8E5B" w14:textId="77777777" w:rsidR="003D3F92" w:rsidRPr="006745EA" w:rsidRDefault="00C871A7">
            <w:pPr>
              <w:rPr>
                <w:b/>
                <w:bCs/>
              </w:rPr>
            </w:pPr>
            <w:r w:rsidRPr="006745EA">
              <w:rPr>
                <w:b/>
                <w:bCs/>
              </w:rPr>
              <w:t>Justification</w:t>
            </w:r>
          </w:p>
        </w:tc>
      </w:tr>
      <w:tr w:rsidR="003D3F92" w14:paraId="7E85E085" w14:textId="77777777">
        <w:tc>
          <w:tcPr>
            <w:tcW w:w="2880" w:type="dxa"/>
          </w:tcPr>
          <w:p w14:paraId="202A5F20" w14:textId="77777777" w:rsidR="003D3F92" w:rsidRDefault="00C871A7">
            <w:r>
              <w:t>Register and Log In</w:t>
            </w:r>
          </w:p>
        </w:tc>
        <w:tc>
          <w:tcPr>
            <w:tcW w:w="2880" w:type="dxa"/>
          </w:tcPr>
          <w:p w14:paraId="14902386" w14:textId="77777777" w:rsidR="003D3F92" w:rsidRDefault="00C871A7">
            <w:r>
              <w:t>Factory Method</w:t>
            </w:r>
          </w:p>
        </w:tc>
        <w:tc>
          <w:tcPr>
            <w:tcW w:w="2880" w:type="dxa"/>
          </w:tcPr>
          <w:p w14:paraId="78AF776F" w14:textId="77777777" w:rsidR="003D3F92" w:rsidRDefault="00C871A7">
            <w:r>
              <w:t>Used to instantiate different user types (Student, Admin) through a unified interface. Improves code extensibility.</w:t>
            </w:r>
          </w:p>
        </w:tc>
      </w:tr>
      <w:tr w:rsidR="003D3F92" w14:paraId="5ED6BBA3" w14:textId="77777777">
        <w:tc>
          <w:tcPr>
            <w:tcW w:w="2880" w:type="dxa"/>
          </w:tcPr>
          <w:p w14:paraId="7103509D" w14:textId="77777777" w:rsidR="003D3F92" w:rsidRDefault="00C871A7">
            <w:r>
              <w:t>Browse and Search Equipment</w:t>
            </w:r>
          </w:p>
        </w:tc>
        <w:tc>
          <w:tcPr>
            <w:tcW w:w="2880" w:type="dxa"/>
          </w:tcPr>
          <w:p w14:paraId="27389272" w14:textId="77777777" w:rsidR="003D3F92" w:rsidRDefault="00C871A7">
            <w:r>
              <w:t>Strategy</w:t>
            </w:r>
          </w:p>
        </w:tc>
        <w:tc>
          <w:tcPr>
            <w:tcW w:w="2880" w:type="dxa"/>
          </w:tcPr>
          <w:p w14:paraId="4056D92F" w14:textId="77777777" w:rsidR="003D3F92" w:rsidRDefault="00C871A7">
            <w:r>
              <w:t>Allows flexible filtering and searching mechanisms that can be extended or replaced without modifying core logic.</w:t>
            </w:r>
          </w:p>
        </w:tc>
      </w:tr>
      <w:tr w:rsidR="003D3F92" w14:paraId="2D22963A" w14:textId="77777777">
        <w:tc>
          <w:tcPr>
            <w:tcW w:w="2880" w:type="dxa"/>
          </w:tcPr>
          <w:p w14:paraId="6EE934B4" w14:textId="77777777" w:rsidR="003D3F92" w:rsidRDefault="00C871A7">
            <w:r>
              <w:t>Borrow Equipment</w:t>
            </w:r>
          </w:p>
        </w:tc>
        <w:tc>
          <w:tcPr>
            <w:tcW w:w="2880" w:type="dxa"/>
          </w:tcPr>
          <w:p w14:paraId="0397CB17" w14:textId="77777777" w:rsidR="003D3F92" w:rsidRDefault="00C871A7">
            <w:r>
              <w:t>Command</w:t>
            </w:r>
          </w:p>
        </w:tc>
        <w:tc>
          <w:tcPr>
            <w:tcW w:w="2880" w:type="dxa"/>
          </w:tcPr>
          <w:p w14:paraId="7156E1D5" w14:textId="77777777" w:rsidR="003D3F92" w:rsidRDefault="00C871A7">
            <w:r>
              <w:t>Encapsulates the borrow request as a command object, making it easy to queue, undo, or log the operation.</w:t>
            </w:r>
          </w:p>
        </w:tc>
      </w:tr>
      <w:tr w:rsidR="003D3F92" w14:paraId="6F3E6658" w14:textId="77777777">
        <w:tc>
          <w:tcPr>
            <w:tcW w:w="2880" w:type="dxa"/>
          </w:tcPr>
          <w:p w14:paraId="22E9EDA3" w14:textId="77777777" w:rsidR="003D3F92" w:rsidRDefault="00C871A7">
            <w:r>
              <w:t>Admin Manages Inventory</w:t>
            </w:r>
          </w:p>
        </w:tc>
        <w:tc>
          <w:tcPr>
            <w:tcW w:w="2880" w:type="dxa"/>
          </w:tcPr>
          <w:p w14:paraId="034E5365" w14:textId="77777777" w:rsidR="003D3F92" w:rsidRDefault="00C871A7">
            <w:r>
              <w:t>Observer</w:t>
            </w:r>
          </w:p>
        </w:tc>
        <w:tc>
          <w:tcPr>
            <w:tcW w:w="2880" w:type="dxa"/>
          </w:tcPr>
          <w:p w14:paraId="6EE2009C" w14:textId="77777777" w:rsidR="003D3F92" w:rsidRDefault="00C871A7">
            <w:r>
              <w:t>Notifies dependent modules like student views or notification systems when inventory changes occur.</w:t>
            </w:r>
          </w:p>
        </w:tc>
      </w:tr>
    </w:tbl>
    <w:p w14:paraId="47E930AF" w14:textId="77777777" w:rsidR="003D3F92" w:rsidRDefault="00C871A7">
      <w:pPr>
        <w:pStyle w:val="Heading2"/>
      </w:pPr>
      <w:r>
        <w:t>Detailed Pattern Application</w:t>
      </w:r>
    </w:p>
    <w:p w14:paraId="57FD8702" w14:textId="77777777" w:rsidR="003D3F92" w:rsidRDefault="00C871A7">
      <w:pPr>
        <w:pStyle w:val="Heading3"/>
      </w:pPr>
      <w:r>
        <w:t>1. Register and Log In – Factory Method</w:t>
      </w:r>
    </w:p>
    <w:p w14:paraId="343144F9" w14:textId="77777777" w:rsidR="003D3F92" w:rsidRDefault="00C871A7">
      <w:r>
        <w:t xml:space="preserve">Factory Method pattern allows creating objects without specifying the exact class of the object. In </w:t>
      </w:r>
      <w:proofErr w:type="spellStart"/>
      <w:r>
        <w:t>KitHub</w:t>
      </w:r>
      <w:proofErr w:type="spellEnd"/>
      <w:r>
        <w:t xml:space="preserve">, it is used to instantiate either </w:t>
      </w:r>
      <w:proofErr w:type="spellStart"/>
      <w:r>
        <w:t>StudentUser</w:t>
      </w:r>
      <w:proofErr w:type="spellEnd"/>
      <w:r>
        <w:t xml:space="preserve"> or </w:t>
      </w:r>
      <w:proofErr w:type="spellStart"/>
      <w:r>
        <w:t>AdminUser</w:t>
      </w:r>
      <w:proofErr w:type="spellEnd"/>
      <w:r>
        <w:t xml:space="preserve"> depending on login credentials. This promotes cleaner code and supports future user roles.</w:t>
      </w:r>
    </w:p>
    <w:p w14:paraId="612FD7DA" w14:textId="77777777" w:rsidR="003D3F92" w:rsidRDefault="00C871A7">
      <w:pPr>
        <w:pStyle w:val="Heading3"/>
      </w:pPr>
      <w:r>
        <w:t>2. Browse and Search Equipment – Strategy</w:t>
      </w:r>
    </w:p>
    <w:p w14:paraId="0378A668" w14:textId="77777777" w:rsidR="003D3F92" w:rsidRDefault="00C871A7">
      <w:r>
        <w:t>Different filtering criteria (e.g., by category, availability, date) can be encapsulated into separate strategies. The Strategy Pattern allows dynamically switching the search behavior at runtime, providing modular and reusable logic.</w:t>
      </w:r>
    </w:p>
    <w:p w14:paraId="46949FF3" w14:textId="77777777" w:rsidR="003D3F92" w:rsidRDefault="00C871A7">
      <w:pPr>
        <w:pStyle w:val="Heading3"/>
      </w:pPr>
      <w:r>
        <w:lastRenderedPageBreak/>
        <w:t>3. Borrow Equipment – Command</w:t>
      </w:r>
    </w:p>
    <w:p w14:paraId="4EC901A5" w14:textId="77777777" w:rsidR="003D3F92" w:rsidRDefault="00C871A7">
      <w:r>
        <w:t>The Command Pattern encapsulates the borrowing operation into a command object. This makes the process more manageable, enabling logging, undoing, and consistent handling of borrow requests.</w:t>
      </w:r>
    </w:p>
    <w:p w14:paraId="10510504" w14:textId="77777777" w:rsidR="003D3F92" w:rsidRDefault="00C871A7">
      <w:pPr>
        <w:pStyle w:val="Heading3"/>
      </w:pPr>
      <w:r>
        <w:t>4. Admin Manages Inventory – Observer</w:t>
      </w:r>
    </w:p>
    <w:p w14:paraId="0F3A176A" w14:textId="77777777" w:rsidR="003D3F92" w:rsidRDefault="00C871A7">
      <w:r>
        <w:t>When an admin modifies the equipment inventory, other modules (such as student dashboards and notification panels) should automatically reflect the changes. The Observer Pattern facilitates this by decoupling the inventory management logic from the UI update mechanisms.</w:t>
      </w:r>
    </w:p>
    <w:p w14:paraId="42A0F062" w14:textId="77777777" w:rsidR="003D3F92" w:rsidRDefault="00C871A7">
      <w:pPr>
        <w:pStyle w:val="Heading2"/>
      </w:pPr>
      <w:r>
        <w:t>Task Matrix for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3D3F92" w14:paraId="4F27B57B" w14:textId="77777777">
        <w:tc>
          <w:tcPr>
            <w:tcW w:w="2880" w:type="dxa"/>
          </w:tcPr>
          <w:p w14:paraId="3332C641" w14:textId="77777777" w:rsidR="003D3F92" w:rsidRPr="006745EA" w:rsidRDefault="00C871A7">
            <w:pPr>
              <w:rPr>
                <w:b/>
                <w:bCs/>
              </w:rPr>
            </w:pPr>
            <w:r w:rsidRPr="006745EA">
              <w:rPr>
                <w:b/>
                <w:bCs/>
              </w:rPr>
              <w:t>Task</w:t>
            </w:r>
          </w:p>
        </w:tc>
        <w:tc>
          <w:tcPr>
            <w:tcW w:w="2880" w:type="dxa"/>
          </w:tcPr>
          <w:p w14:paraId="3DEC7F9C" w14:textId="77777777" w:rsidR="003D3F92" w:rsidRPr="006745EA" w:rsidRDefault="00C871A7">
            <w:pPr>
              <w:rPr>
                <w:b/>
                <w:bCs/>
              </w:rPr>
            </w:pPr>
            <w:r w:rsidRPr="006745EA">
              <w:rPr>
                <w:b/>
                <w:bCs/>
              </w:rPr>
              <w:t>Description</w:t>
            </w:r>
          </w:p>
        </w:tc>
        <w:tc>
          <w:tcPr>
            <w:tcW w:w="2880" w:type="dxa"/>
          </w:tcPr>
          <w:p w14:paraId="34E84EE7" w14:textId="77777777" w:rsidR="003D3F92" w:rsidRPr="006745EA" w:rsidRDefault="00C871A7">
            <w:pPr>
              <w:rPr>
                <w:b/>
                <w:bCs/>
              </w:rPr>
            </w:pPr>
            <w:r w:rsidRPr="006745EA">
              <w:rPr>
                <w:b/>
                <w:bCs/>
              </w:rPr>
              <w:t>Responsible Member</w:t>
            </w:r>
          </w:p>
        </w:tc>
      </w:tr>
      <w:tr w:rsidR="003D3F92" w14:paraId="294BC487" w14:textId="77777777">
        <w:tc>
          <w:tcPr>
            <w:tcW w:w="2880" w:type="dxa"/>
          </w:tcPr>
          <w:p w14:paraId="416A070D" w14:textId="77777777" w:rsidR="003D3F92" w:rsidRDefault="006A7BA9">
            <w:r>
              <w:t>Pattern Identification</w:t>
            </w:r>
          </w:p>
        </w:tc>
        <w:tc>
          <w:tcPr>
            <w:tcW w:w="2880" w:type="dxa"/>
          </w:tcPr>
          <w:p w14:paraId="1B9D4F9F" w14:textId="77777777" w:rsidR="003D3F92" w:rsidRDefault="006A7BA9">
            <w:r>
              <w:t>Matched each use case with a suitable design pattern</w:t>
            </w:r>
          </w:p>
        </w:tc>
        <w:tc>
          <w:tcPr>
            <w:tcW w:w="2880" w:type="dxa"/>
          </w:tcPr>
          <w:p w14:paraId="7D044EB1" w14:textId="77777777" w:rsidR="003D3F92" w:rsidRDefault="006A7BA9">
            <w:r>
              <w:t>Betül Biçer</w:t>
            </w:r>
          </w:p>
        </w:tc>
      </w:tr>
      <w:tr w:rsidR="006A7BA9" w14:paraId="6A7B1094" w14:textId="77777777">
        <w:tc>
          <w:tcPr>
            <w:tcW w:w="2880" w:type="dxa"/>
          </w:tcPr>
          <w:p w14:paraId="5ABF3BFE" w14:textId="77777777" w:rsidR="006A7BA9" w:rsidRDefault="006A7BA9">
            <w:r>
              <w:t>Technical Justification</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7BA9" w:rsidRPr="006A7BA9" w14:paraId="02227B21" w14:textId="77777777" w:rsidTr="006A7BA9">
              <w:trPr>
                <w:tblCellSpacing w:w="15" w:type="dxa"/>
              </w:trPr>
              <w:tc>
                <w:tcPr>
                  <w:tcW w:w="0" w:type="auto"/>
                  <w:vAlign w:val="center"/>
                  <w:hideMark/>
                </w:tcPr>
                <w:p w14:paraId="756D6E04" w14:textId="77777777" w:rsidR="006A7BA9" w:rsidRPr="006A7BA9" w:rsidRDefault="006A7BA9" w:rsidP="006A7BA9">
                  <w:pPr>
                    <w:spacing w:after="0" w:line="240" w:lineRule="auto"/>
                    <w:rPr>
                      <w:rFonts w:ascii="Times New Roman" w:eastAsia="Times New Roman" w:hAnsi="Times New Roman" w:cs="Times New Roman"/>
                      <w:sz w:val="24"/>
                      <w:szCs w:val="24"/>
                    </w:rPr>
                  </w:pPr>
                </w:p>
              </w:tc>
            </w:tr>
          </w:tbl>
          <w:p w14:paraId="7FDA5536" w14:textId="77777777" w:rsidR="006A7BA9" w:rsidRPr="006A7BA9" w:rsidRDefault="006A7BA9" w:rsidP="006A7BA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6A7BA9" w:rsidRPr="006A7BA9" w14:paraId="0F25F34C" w14:textId="77777777" w:rsidTr="006A7BA9">
              <w:trPr>
                <w:tblCellSpacing w:w="15" w:type="dxa"/>
              </w:trPr>
              <w:tc>
                <w:tcPr>
                  <w:tcW w:w="0" w:type="auto"/>
                  <w:vAlign w:val="center"/>
                  <w:hideMark/>
                </w:tcPr>
                <w:p w14:paraId="7603E99C" w14:textId="77777777" w:rsidR="006A7BA9" w:rsidRPr="006A7BA9" w:rsidRDefault="006A7BA9" w:rsidP="006A7BA9">
                  <w:pPr>
                    <w:spacing w:after="0" w:line="240" w:lineRule="auto"/>
                    <w:rPr>
                      <w:rFonts w:ascii="Times New Roman" w:eastAsia="Times New Roman" w:hAnsi="Times New Roman" w:cs="Times New Roman"/>
                      <w:sz w:val="24"/>
                      <w:szCs w:val="24"/>
                    </w:rPr>
                  </w:pPr>
                  <w:r w:rsidRPr="006A7BA9">
                    <w:rPr>
                      <w:rFonts w:ascii="Times New Roman" w:eastAsia="Times New Roman" w:hAnsi="Times New Roman" w:cs="Times New Roman"/>
                      <w:sz w:val="24"/>
                      <w:szCs w:val="24"/>
                    </w:rPr>
                    <w:t>Wrote explanations for why each pattern was appropriate</w:t>
                  </w:r>
                </w:p>
              </w:tc>
            </w:tr>
          </w:tbl>
          <w:p w14:paraId="3DF35432" w14:textId="77777777" w:rsidR="006A7BA9" w:rsidRDefault="006A7BA9"/>
        </w:tc>
        <w:tc>
          <w:tcPr>
            <w:tcW w:w="2880" w:type="dxa"/>
          </w:tcPr>
          <w:p w14:paraId="3AF1D4BC" w14:textId="77777777" w:rsidR="006A7BA9" w:rsidRDefault="006A7BA9">
            <w:r>
              <w:t>Mehmet Karatekin</w:t>
            </w:r>
          </w:p>
        </w:tc>
      </w:tr>
      <w:tr w:rsidR="006A7BA9" w14:paraId="67C40401" w14:textId="77777777">
        <w:tc>
          <w:tcPr>
            <w:tcW w:w="2880" w:type="dxa"/>
          </w:tcPr>
          <w:p w14:paraId="0E37E745" w14:textId="77777777" w:rsidR="006A7BA9" w:rsidRDefault="006A7BA9">
            <w:r>
              <w:t>Document Formatting</w:t>
            </w:r>
          </w:p>
        </w:tc>
        <w:tc>
          <w:tcPr>
            <w:tcW w:w="2880" w:type="dxa"/>
          </w:tcPr>
          <w:p w14:paraId="11AFEBF4" w14:textId="77777777" w:rsidR="006A7BA9" w:rsidRPr="006A7BA9" w:rsidRDefault="006A7BA9" w:rsidP="006A7BA9">
            <w:pPr>
              <w:spacing w:after="0" w:line="240" w:lineRule="auto"/>
              <w:rPr>
                <w:rFonts w:ascii="Times New Roman" w:eastAsia="Times New Roman" w:hAnsi="Times New Roman" w:cs="Times New Roman"/>
                <w:sz w:val="24"/>
                <w:szCs w:val="24"/>
              </w:rPr>
            </w:pPr>
            <w:r>
              <w:t>Created matrix table and structured the detailed pattern descriptions</w:t>
            </w:r>
          </w:p>
        </w:tc>
        <w:tc>
          <w:tcPr>
            <w:tcW w:w="2880" w:type="dxa"/>
          </w:tcPr>
          <w:p w14:paraId="24FBB7B9" w14:textId="77777777" w:rsidR="006A7BA9" w:rsidRDefault="006A7BA9">
            <w:r>
              <w:t xml:space="preserve">Aylin </w:t>
            </w:r>
            <w:proofErr w:type="spellStart"/>
            <w:r>
              <w:t>Barutçu</w:t>
            </w:r>
            <w:proofErr w:type="spellEnd"/>
          </w:p>
        </w:tc>
      </w:tr>
      <w:tr w:rsidR="006A7BA9" w14:paraId="2859DF0D" w14:textId="77777777">
        <w:tc>
          <w:tcPr>
            <w:tcW w:w="2880" w:type="dxa"/>
          </w:tcPr>
          <w:p w14:paraId="65DA855C" w14:textId="77777777" w:rsidR="006A7BA9" w:rsidRDefault="006A7BA9">
            <w:r>
              <w:t>Final Consistency Check</w:t>
            </w:r>
          </w:p>
        </w:tc>
        <w:tc>
          <w:tcPr>
            <w:tcW w:w="2880" w:type="dxa"/>
          </w:tcPr>
          <w:p w14:paraId="0B3B02F3" w14:textId="77777777" w:rsidR="006A7BA9" w:rsidRPr="006A7BA9" w:rsidRDefault="006A7BA9" w:rsidP="006A7BA9">
            <w:pPr>
              <w:spacing w:after="0" w:line="240" w:lineRule="auto"/>
              <w:rPr>
                <w:rFonts w:ascii="Times New Roman" w:eastAsia="Times New Roman" w:hAnsi="Times New Roman" w:cs="Times New Roman"/>
                <w:sz w:val="24"/>
                <w:szCs w:val="24"/>
              </w:rPr>
            </w:pPr>
            <w:r>
              <w:t>Reviewed for clarity, alignment with SRS/use cases, and consistency of roles</w:t>
            </w:r>
          </w:p>
        </w:tc>
        <w:tc>
          <w:tcPr>
            <w:tcW w:w="2880" w:type="dxa"/>
          </w:tcPr>
          <w:p w14:paraId="71ECE6A9" w14:textId="77777777" w:rsidR="006A7BA9" w:rsidRDefault="006A7BA9">
            <w:proofErr w:type="spellStart"/>
            <w:r>
              <w:t>İlbey</w:t>
            </w:r>
            <w:proofErr w:type="spellEnd"/>
            <w:r>
              <w:t xml:space="preserve"> Efe </w:t>
            </w:r>
            <w:proofErr w:type="spellStart"/>
            <w:r>
              <w:t>Taşabatlı</w:t>
            </w:r>
            <w:proofErr w:type="spellEnd"/>
          </w:p>
        </w:tc>
      </w:tr>
    </w:tbl>
    <w:p w14:paraId="1ACEC0BA" w14:textId="77777777" w:rsidR="00C871A7" w:rsidRDefault="00C871A7"/>
    <w:sectPr w:rsidR="00C87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23893">
    <w:abstractNumId w:val="8"/>
  </w:num>
  <w:num w:numId="2" w16cid:durableId="1905068636">
    <w:abstractNumId w:val="6"/>
  </w:num>
  <w:num w:numId="3" w16cid:durableId="1967542135">
    <w:abstractNumId w:val="5"/>
  </w:num>
  <w:num w:numId="4" w16cid:durableId="1313831485">
    <w:abstractNumId w:val="4"/>
  </w:num>
  <w:num w:numId="5" w16cid:durableId="390227211">
    <w:abstractNumId w:val="7"/>
  </w:num>
  <w:num w:numId="6" w16cid:durableId="954754919">
    <w:abstractNumId w:val="3"/>
  </w:num>
  <w:num w:numId="7" w16cid:durableId="1956597391">
    <w:abstractNumId w:val="2"/>
  </w:num>
  <w:num w:numId="8" w16cid:durableId="625817483">
    <w:abstractNumId w:val="1"/>
  </w:num>
  <w:num w:numId="9" w16cid:durableId="203719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E1B"/>
    <w:rsid w:val="0015074B"/>
    <w:rsid w:val="0029639D"/>
    <w:rsid w:val="00326F90"/>
    <w:rsid w:val="003D3F92"/>
    <w:rsid w:val="006745EA"/>
    <w:rsid w:val="006A7BA9"/>
    <w:rsid w:val="00AA1D8D"/>
    <w:rsid w:val="00B47730"/>
    <w:rsid w:val="00C871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82059"/>
  <w14:defaultImageDpi w14:val="300"/>
  <w15:docId w15:val="{4E41AC27-5EA7-4C7A-95D5-4DAEC874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9860">
      <w:bodyDiv w:val="1"/>
      <w:marLeft w:val="0"/>
      <w:marRight w:val="0"/>
      <w:marTop w:val="0"/>
      <w:marBottom w:val="0"/>
      <w:divBdr>
        <w:top w:val="none" w:sz="0" w:space="0" w:color="auto"/>
        <w:left w:val="none" w:sz="0" w:space="0" w:color="auto"/>
        <w:bottom w:val="none" w:sz="0" w:space="0" w:color="auto"/>
        <w:right w:val="none" w:sz="0" w:space="0" w:color="auto"/>
      </w:divBdr>
    </w:div>
    <w:div w:id="1328096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6670C-65FE-44AB-B5B1-1F0A3A0F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Mehmet Karatekin</cp:lastModifiedBy>
  <cp:revision>3</cp:revision>
  <dcterms:created xsi:type="dcterms:W3CDTF">2013-12-23T23:15:00Z</dcterms:created>
  <dcterms:modified xsi:type="dcterms:W3CDTF">2025-06-15T20:47:00Z</dcterms:modified>
  <cp:category/>
</cp:coreProperties>
</file>