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BOARDROOM BRIEFING REPORT</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t>Global Teen Social Media Behaviour &amp; Digital Wellbeing Dashboard</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A data-driven intelligence brief for NGOs, education leaders, child protection stakeholders, and digital wellbeing partners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 xml:space="preserve">Prepared for: Boardroom, NGO, Programme </w:t>
      </w:r>
      <w:r w:rsidRPr="002612EB">
        <w:rPr>
          <w:rFonts w:ascii="Times New Roman" w:hAnsi="Times New Roman" w:cs="Times New Roman"/>
          <w:color w:val="1E40AF"/>
          <w:sz w:val="24"/>
          <w:szCs w:val="24"/>
        </w:rPr>
        <w:t>Strategy and Partnership Review</w:t>
      </w:r>
    </w:p>
    <w:tbl>
      <w:tblPr>
        <w:tblStyle w:val="TableGrid"/>
        <w:tblW w:w="0" w:type="auto"/>
        <w:jc w:val="center"/>
        <w:tblLook w:val="04A0" w:firstRow="1" w:lastRow="0" w:firstColumn="1" w:lastColumn="0" w:noHBand="0" w:noVBand="1"/>
      </w:tblPr>
      <w:tblGrid>
        <w:gridCol w:w="5178"/>
        <w:gridCol w:w="5180"/>
      </w:tblGrid>
      <w:tr w:rsidR="005344DE" w:rsidRPr="002612EB">
        <w:trPr>
          <w:jc w:val="center"/>
        </w:trPr>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Board Summary Item</w:t>
            </w:r>
          </w:p>
        </w:tc>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Description</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Dataset scope</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98 countries, 14 regions, 2015-2060 trend horizon</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Dashboard format</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Static interactive HTML/CSS/JavaScript dashboard deployed through GitHub Pages</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Primary purpose</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 xml:space="preserve">Identify teen </w:t>
            </w:r>
            <w:r w:rsidRPr="002612EB">
              <w:rPr>
                <w:rFonts w:ascii="Times New Roman" w:hAnsi="Times New Roman" w:cs="Times New Roman"/>
                <w:color w:val="111827"/>
                <w:sz w:val="24"/>
                <w:szCs w:val="24"/>
              </w:rPr>
              <w:t>digital wellbeing risks and guide evidence-informed intervention planning</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Strategic audience</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NGO boards, programme directors, school networks, donors, child protection partners, policy advocates</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i/>
          <w:sz w:val="24"/>
          <w:szCs w:val="24"/>
        </w:rPr>
        <w:t xml:space="preserve">Note: The project uses synthetic/analytical datasets for </w:t>
      </w:r>
      <w:r w:rsidRPr="002612EB">
        <w:rPr>
          <w:rFonts w:ascii="Times New Roman" w:hAnsi="Times New Roman" w:cs="Times New Roman"/>
          <w:i/>
          <w:sz w:val="24"/>
          <w:szCs w:val="24"/>
        </w:rPr>
        <w:t>modelling, portfolio demonstration, policy simulation and dashboard development. Findings should guide discussion and programme design, not replace nationally validated survey evidence.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br w:type="page"/>
      </w:r>
    </w:p>
    <w:p w:rsidR="005344DE" w:rsidRPr="002612EB" w:rsidRDefault="00910CC8" w:rsidP="002612EB">
      <w:pPr>
        <w:spacing w:line="360" w:lineRule="auto"/>
        <w:jc w:val="both"/>
        <w:rPr>
          <w:rFonts w:ascii="Times New Roman" w:hAnsi="Times New Roman" w:cs="Times New Roman"/>
          <w:b/>
          <w:sz w:val="24"/>
          <w:szCs w:val="24"/>
        </w:rPr>
      </w:pPr>
      <w:r w:rsidRPr="002612EB">
        <w:rPr>
          <w:rFonts w:ascii="Times New Roman" w:hAnsi="Times New Roman" w:cs="Times New Roman"/>
          <w:b/>
          <w:color w:val="0F172A"/>
          <w:sz w:val="24"/>
          <w:szCs w:val="24"/>
        </w:rPr>
        <w:lastRenderedPageBreak/>
        <w:t>1. Executive Summary</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This report presents a boardroom-ready analysis</w:t>
      </w:r>
      <w:r w:rsidRPr="002612EB">
        <w:rPr>
          <w:rFonts w:ascii="Times New Roman" w:hAnsi="Times New Roman" w:cs="Times New Roman"/>
          <w:sz w:val="24"/>
          <w:szCs w:val="24"/>
        </w:rPr>
        <w:t xml:space="preserve"> of the Global Teen Social Media Behaviour and Digital Wellbeing Dashboard. The dashboard consolidates country, regional, urban-rural, behavioural segment, forecast, and feature-importance datasets into an interactive monitoring tool for understanding the </w:t>
      </w:r>
      <w:r w:rsidRPr="002612EB">
        <w:rPr>
          <w:rFonts w:ascii="Times New Roman" w:hAnsi="Times New Roman" w:cs="Times New Roman"/>
          <w:sz w:val="24"/>
          <w:szCs w:val="24"/>
        </w:rPr>
        <w:t>relationship between teen screen time, social media exposure, addiction risk, sleep patterns, cyberbullying, mental health risk, and digital wellbeing.</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The central value of the project is not only technical. It is a decision-support product for organisatio</w:t>
      </w:r>
      <w:r w:rsidRPr="002612EB">
        <w:rPr>
          <w:rFonts w:ascii="Times New Roman" w:hAnsi="Times New Roman" w:cs="Times New Roman"/>
          <w:sz w:val="24"/>
          <w:szCs w:val="24"/>
        </w:rPr>
        <w:t>ns seeking to design safer digital environments for adolescents. For NGOs, schools, youth-focused foundations, and child protection coalitions, the dashboard can support advocacy, early warning, programme targeting, stakeholder reporting, donor presentatio</w:t>
      </w:r>
      <w:r w:rsidRPr="002612EB">
        <w:rPr>
          <w:rFonts w:ascii="Times New Roman" w:hAnsi="Times New Roman" w:cs="Times New Roman"/>
          <w:sz w:val="24"/>
          <w:szCs w:val="24"/>
        </w:rPr>
        <w:t>ns, and campaign planning.</w:t>
      </w:r>
    </w:p>
    <w:p w:rsidR="005344DE" w:rsidRPr="002612EB" w:rsidRDefault="00910CC8" w:rsidP="002612EB">
      <w:pPr>
        <w:spacing w:line="360" w:lineRule="auto"/>
        <w:jc w:val="both"/>
        <w:rPr>
          <w:rFonts w:ascii="Times New Roman" w:hAnsi="Times New Roman" w:cs="Times New Roman"/>
          <w:b/>
          <w:sz w:val="24"/>
          <w:szCs w:val="24"/>
        </w:rPr>
      </w:pPr>
      <w:r w:rsidRPr="002612EB">
        <w:rPr>
          <w:rFonts w:ascii="Times New Roman" w:hAnsi="Times New Roman" w:cs="Times New Roman"/>
          <w:b/>
          <w:color w:val="1E40AF"/>
          <w:sz w:val="24"/>
          <w:szCs w:val="24"/>
        </w:rPr>
        <w:t>Board-Level Decision Message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Teen digital wellbeing should be treated as a measurable youth development and mental health priority, not simply a technology-use issue.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The strongest risk signals in the model relate to social media</w:t>
      </w:r>
      <w:r w:rsidRPr="002612EB">
        <w:rPr>
          <w:rFonts w:ascii="Times New Roman" w:hAnsi="Times New Roman" w:cs="Times New Roman"/>
          <w:color w:val="111827"/>
          <w:sz w:val="24"/>
          <w:szCs w:val="24"/>
        </w:rPr>
        <w:t xml:space="preserve"> addiction, smartphone dependency, time spent on social media, daily screen time, eye strain, sleep hours, notifications, and night screen use.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The dashboard can help NGOs prioritise intervention by country, region, population setting, behavioural segment,</w:t>
      </w:r>
      <w:r w:rsidRPr="002612EB">
        <w:rPr>
          <w:rFonts w:ascii="Times New Roman" w:hAnsi="Times New Roman" w:cs="Times New Roman"/>
          <w:color w:val="111827"/>
          <w:sz w:val="24"/>
          <w:szCs w:val="24"/>
        </w:rPr>
        <w:t xml:space="preserve"> and forecasted future risk.</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The project is suitable for boardroom demonstration, donor engagement, research communication, and digital wellbeing programme planning.</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Headline Indicators</w:t>
      </w:r>
    </w:p>
    <w:tbl>
      <w:tblPr>
        <w:tblStyle w:val="TableGrid"/>
        <w:tblW w:w="0" w:type="auto"/>
        <w:jc w:val="center"/>
        <w:tblLook w:val="04A0" w:firstRow="1" w:lastRow="0" w:firstColumn="1" w:lastColumn="0" w:noHBand="0" w:noVBand="1"/>
      </w:tblPr>
      <w:tblGrid>
        <w:gridCol w:w="5179"/>
        <w:gridCol w:w="5179"/>
      </w:tblGrid>
      <w:tr w:rsidR="005344DE" w:rsidRPr="002612EB">
        <w:trPr>
          <w:jc w:val="center"/>
        </w:trPr>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Indicator</w:t>
            </w:r>
          </w:p>
        </w:tc>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Value</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Countries covered</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98</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Regions covered</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14</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Country-year records</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4,508</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Average screen time, 2015</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3.66 hours/day</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Average screen time, 2026</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4.66 hours/day</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Average screen time, 2060 projection period</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7.82 hours/day</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Average sleep, 2015</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7.90 hours/day</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Average sleep, 2060 projection period</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 xml:space="preserve">6.90 </w:t>
            </w:r>
            <w:r w:rsidRPr="002612EB">
              <w:rPr>
                <w:rFonts w:ascii="Times New Roman" w:hAnsi="Times New Roman" w:cs="Times New Roman"/>
                <w:color w:val="111827"/>
                <w:sz w:val="24"/>
                <w:szCs w:val="24"/>
              </w:rPr>
              <w:t>hours/day</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lastRenderedPageBreak/>
        <w:t>2. Background and Strategic Rationale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 xml:space="preserve">Across education, public health, child protection, and youth development sectors, adolescent online behaviour has become a strategic concern. Social media and smartphones have created access to information, </w:t>
      </w:r>
      <w:r w:rsidRPr="002612EB">
        <w:rPr>
          <w:rFonts w:ascii="Times New Roman" w:hAnsi="Times New Roman" w:cs="Times New Roman"/>
          <w:sz w:val="24"/>
          <w:szCs w:val="24"/>
        </w:rPr>
        <w:t>peer connection, creativity, and learning opportunities. However, excessive or poorly regulated use may also contribute to sleep disruption, exposure to harmful content, cyberbullying, reduced attention, academic strain, anxiety, and poor digital wellbeing</w:t>
      </w:r>
      <w:r w:rsidRPr="002612EB">
        <w:rPr>
          <w:rFonts w:ascii="Times New Roman" w:hAnsi="Times New Roman" w:cs="Times New Roman"/>
          <w:sz w:val="24"/>
          <w:szCs w:val="24"/>
        </w:rPr>
        <w:t>.</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 xml:space="preserve">NGOs often need to present complex digital behaviour evidence to boards, donors, schools, parents, and policy stakeholders. Raw spreadsheets are not effective for that purpose. This project transforms multi-dimensional teen digital behaviour data into a </w:t>
      </w:r>
      <w:r w:rsidRPr="002612EB">
        <w:rPr>
          <w:rFonts w:ascii="Times New Roman" w:hAnsi="Times New Roman" w:cs="Times New Roman"/>
          <w:sz w:val="24"/>
          <w:szCs w:val="24"/>
        </w:rPr>
        <w:t>visual dashboard that allows non-technical stakeholders to explore risks quickly and ask better programme questions.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Why This Matters for NGOs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Programme targeting: identify countries, regions, and youth segments requiring deeper assessment or intervention.</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Advocacy: communicate digital wellbeing risks with clear visuals instead of lengthy technical tables.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Donor reporting: demonstrate evidence-informed planning and measurable risk indicators.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Partnership development: support conversations with schools, mini</w:t>
      </w:r>
      <w:r w:rsidRPr="002612EB">
        <w:rPr>
          <w:rFonts w:ascii="Times New Roman" w:hAnsi="Times New Roman" w:cs="Times New Roman"/>
          <w:color w:val="111827"/>
          <w:sz w:val="24"/>
          <w:szCs w:val="24"/>
        </w:rPr>
        <w:t>stries, parent associations, and technology partners.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Monitoring and evaluation: create a framework for tracking screen time, wellbeing, cyberbullying and behavioural risk over time.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t>3. Data Assets and Methodology</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The project uses a collection of CSV datas</w:t>
      </w:r>
      <w:r w:rsidRPr="002612EB">
        <w:rPr>
          <w:rFonts w:ascii="Times New Roman" w:hAnsi="Times New Roman" w:cs="Times New Roman"/>
          <w:sz w:val="24"/>
          <w:szCs w:val="24"/>
        </w:rPr>
        <w:t>ets covering global teen social media behaviour from 2015 to 2060. The main dashboard does not rely on the very large raw file; instead, it uses smaller summary datasets to improve loading performance on GitHub Pages and ensure broader accessibility for bo</w:t>
      </w:r>
      <w:r w:rsidRPr="002612EB">
        <w:rPr>
          <w:rFonts w:ascii="Times New Roman" w:hAnsi="Times New Roman" w:cs="Times New Roman"/>
          <w:sz w:val="24"/>
          <w:szCs w:val="24"/>
        </w:rPr>
        <w:t>ard members and external stakeholders.</w:t>
      </w:r>
    </w:p>
    <w:tbl>
      <w:tblPr>
        <w:tblStyle w:val="TableGrid"/>
        <w:tblW w:w="0" w:type="auto"/>
        <w:jc w:val="center"/>
        <w:tblLook w:val="04A0" w:firstRow="1" w:lastRow="0" w:firstColumn="1" w:lastColumn="0" w:noHBand="0" w:noVBand="1"/>
      </w:tblPr>
      <w:tblGrid>
        <w:gridCol w:w="5183"/>
        <w:gridCol w:w="5175"/>
      </w:tblGrid>
      <w:tr w:rsidR="005344DE" w:rsidRPr="002612EB">
        <w:trPr>
          <w:jc w:val="center"/>
        </w:trPr>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Dataset</w:t>
            </w:r>
          </w:p>
        </w:tc>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Analytical Purpose</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country_year_summary_2015_2060.csv</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Country-year trend analysis across screen time, sleep, addiction, mental health risk, wellbeing, cyberbullying and problematic use.</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lastRenderedPageBreak/>
              <w:t>global_country_risk_rankings_2026.csv</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Country-level 2026 risk ranking for boardroom comparison and prioritisation.</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global_forecast_2030_2040_2050_2060.csv</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Long-term forecast scenarios for addiction and mental health risk.</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region_2026_risk_profile.csv</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Reg</w:t>
            </w:r>
            <w:r w:rsidRPr="002612EB">
              <w:rPr>
                <w:rFonts w:ascii="Times New Roman" w:hAnsi="Times New Roman" w:cs="Times New Roman"/>
                <w:color w:val="111827"/>
                <w:sz w:val="24"/>
                <w:szCs w:val="24"/>
              </w:rPr>
              <w:t>ional risk comparison across addiction, mental health, wellbeing, cyberbullying and harmful content.</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regional_urban_rural_risk_summary_2026.csv</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Urban, semi-urban and rural comparison of digital risk indicators.</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teen_behaviour_segments.csv</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Behavioural seg</w:t>
            </w:r>
            <w:r w:rsidRPr="002612EB">
              <w:rPr>
                <w:rFonts w:ascii="Times New Roman" w:hAnsi="Times New Roman" w:cs="Times New Roman"/>
                <w:color w:val="111827"/>
                <w:sz w:val="24"/>
                <w:szCs w:val="24"/>
              </w:rPr>
              <w:t>mentation based on screen time, social media use, sleep, risk scores and wellbeing.</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model_feature_importance.csv</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Model explanation showing the strongest predictors of risk in the dataset.</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Analytical Approach</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 xml:space="preserve">Data cleaning and structuring: CSV files were </w:t>
      </w:r>
      <w:r w:rsidRPr="002612EB">
        <w:rPr>
          <w:rFonts w:ascii="Times New Roman" w:hAnsi="Times New Roman" w:cs="Times New Roman"/>
          <w:color w:val="111827"/>
          <w:sz w:val="24"/>
          <w:szCs w:val="24"/>
        </w:rPr>
        <w:t>organised into dashboard-ready tables.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Descriptive analytics: averages, rankings, trends and grouped summaries were produced for board-level interpretation.</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Comparative analytics: countries, regions and urban-rural groups were compared across risk indicato</w:t>
      </w:r>
      <w:r w:rsidRPr="002612EB">
        <w:rPr>
          <w:rFonts w:ascii="Times New Roman" w:hAnsi="Times New Roman" w:cs="Times New Roman"/>
          <w:color w:val="111827"/>
          <w:sz w:val="24"/>
          <w:szCs w:val="24"/>
        </w:rPr>
        <w:t>rs.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Forecast analysis: projected risk indicators for 2030, 2040, 2050 and 2060 were reviewed.</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Dashboard development: the final interactive version was converted to HTML, CSS and JavaScript for GitHub Pages deployment.</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t>4. Key Analytical Findings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 xml:space="preserve">4.1 Global </w:t>
      </w:r>
      <w:r w:rsidRPr="002612EB">
        <w:rPr>
          <w:rFonts w:ascii="Times New Roman" w:hAnsi="Times New Roman" w:cs="Times New Roman"/>
          <w:color w:val="1E40AF"/>
          <w:sz w:val="24"/>
          <w:szCs w:val="24"/>
        </w:rPr>
        <w:t>Trend: Screen Time Is Rising While Sleep and Digital Wellbeing Decline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Between 2015 and 2026, average screen time increased from 3.66 to 4.66 hours per day. By the 2060 projection period, the average rises to 7.82 hours per day. At the same time, average s</w:t>
      </w:r>
      <w:r w:rsidRPr="002612EB">
        <w:rPr>
          <w:rFonts w:ascii="Times New Roman" w:hAnsi="Times New Roman" w:cs="Times New Roman"/>
          <w:sz w:val="24"/>
          <w:szCs w:val="24"/>
        </w:rPr>
        <w:t>leep declines from 7.90 hours in 2015 to 6.90 hours by 2060. Digital wellbeing also falls from 88.76 in 2015 to 71.43 by 2060.</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Average addiction score rises from 43.36 in 2015 to 67.32 by 2060.</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Average mental health risk rises from 35.21 in 2015 to 48.14 b</w:t>
      </w:r>
      <w:r w:rsidRPr="002612EB">
        <w:rPr>
          <w:rFonts w:ascii="Times New Roman" w:hAnsi="Times New Roman" w:cs="Times New Roman"/>
          <w:color w:val="111827"/>
          <w:sz w:val="24"/>
          <w:szCs w:val="24"/>
        </w:rPr>
        <w:t>y 2060.</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Problematic use rate rises from 1.0% in 2015 to 40.3% by 2060.</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noProof/>
          <w:sz w:val="24"/>
          <w:szCs w:val="24"/>
        </w:rPr>
        <w:lastRenderedPageBreak/>
        <w:drawing>
          <wp:inline distT="0" distB="0" distL="0" distR="0">
            <wp:extent cx="603504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_screen_sleep.png"/>
                    <pic:cNvPicPr/>
                  </pic:nvPicPr>
                  <pic:blipFill>
                    <a:blip r:embed="rId8"/>
                    <a:stretch>
                      <a:fillRect/>
                    </a:stretch>
                  </pic:blipFill>
                  <pic:spPr>
                    <a:xfrm>
                      <a:off x="0" y="0"/>
                      <a:ext cx="6035040" cy="3017520"/>
                    </a:xfrm>
                    <a:prstGeom prst="rect">
                      <a:avLst/>
                    </a:prstGeom>
                  </pic:spPr>
                </pic:pic>
              </a:graphicData>
            </a:graphic>
          </wp:inline>
        </w:drawing>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i/>
          <w:sz w:val="24"/>
          <w:szCs w:val="24"/>
        </w:rPr>
        <w:t>Figure 1: Screen time and sleep trend comparison.</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4.2 Country Risk Ranking: 2026 High-Risk Countries Require Further Review</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The 2026 country ranking identifies countries with comparat</w:t>
      </w:r>
      <w:r w:rsidRPr="002612EB">
        <w:rPr>
          <w:rFonts w:ascii="Times New Roman" w:hAnsi="Times New Roman" w:cs="Times New Roman"/>
          <w:sz w:val="24"/>
          <w:szCs w:val="24"/>
        </w:rPr>
        <w:t>ively higher overall risk scores. This ranking should be used to prioritise deeper research, stakeholder consultation, and context-specific programme planning, rather than as a final judgement of national performance.</w:t>
      </w:r>
    </w:p>
    <w:tbl>
      <w:tblPr>
        <w:tblStyle w:val="TableGrid"/>
        <w:tblW w:w="0" w:type="auto"/>
        <w:jc w:val="center"/>
        <w:tblLook w:val="04A0" w:firstRow="1" w:lastRow="0" w:firstColumn="1" w:lastColumn="0" w:noHBand="0" w:noVBand="1"/>
      </w:tblPr>
      <w:tblGrid>
        <w:gridCol w:w="1726"/>
        <w:gridCol w:w="1727"/>
        <w:gridCol w:w="1726"/>
        <w:gridCol w:w="1726"/>
        <w:gridCol w:w="1727"/>
        <w:gridCol w:w="1726"/>
      </w:tblGrid>
      <w:tr w:rsidR="005344DE" w:rsidRPr="002612EB">
        <w:trPr>
          <w:jc w:val="center"/>
        </w:trPr>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Rank</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Country</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Region</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Overall Risk</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Addiction</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Mental Health Risk</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1</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Portugal</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Southern Europe</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37.63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52.27</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40.00</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Spain</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Southern Europe</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37.29</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50.83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39.82</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United Kingdom</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Western Europe</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37.23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53.64</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39.75</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Kuwait</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Middle East</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37.17</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50.85</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39.85</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China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East Asia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37.06</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51.59</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39.88</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6</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Guatemala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Latin America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36.93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50.92</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39.65</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7</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Costa Rica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Latin America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36.93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51.04</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39.77</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United States</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North America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36.79</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51.02</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38.69</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9</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Uruguay</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Latin America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36.72</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50.16</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39.51</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lastRenderedPageBreak/>
              <w:t>10</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Switzerland</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Western Europe</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36.70</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50.90</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39.19</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 xml:space="preserve">4.3 Regional Pattern: </w:t>
      </w:r>
      <w:r w:rsidRPr="002612EB">
        <w:rPr>
          <w:rFonts w:ascii="Times New Roman" w:hAnsi="Times New Roman" w:cs="Times New Roman"/>
          <w:color w:val="1E40AF"/>
          <w:sz w:val="24"/>
          <w:szCs w:val="24"/>
        </w:rPr>
        <w:t>Southern Europe, Western Europe and East Asia Lead on Addiction Score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Regional comparison shows that several high-income and digitally saturated regions display elevated addiction scores. This indicates that digital wellbeing risk is not limited to low-res</w:t>
      </w:r>
      <w:r w:rsidRPr="002612EB">
        <w:rPr>
          <w:rFonts w:ascii="Times New Roman" w:hAnsi="Times New Roman" w:cs="Times New Roman"/>
          <w:sz w:val="24"/>
          <w:szCs w:val="24"/>
        </w:rPr>
        <w:t>ource settings. Programme design should therefore consider both access-related issues and overuse-related issues.</w:t>
      </w:r>
    </w:p>
    <w:tbl>
      <w:tblPr>
        <w:tblStyle w:val="TableGrid"/>
        <w:tblW w:w="0" w:type="auto"/>
        <w:jc w:val="center"/>
        <w:tblLook w:val="04A0" w:firstRow="1" w:lastRow="0" w:firstColumn="1" w:lastColumn="0" w:noHBand="0" w:noVBand="1"/>
      </w:tblPr>
      <w:tblGrid>
        <w:gridCol w:w="1726"/>
        <w:gridCol w:w="1726"/>
        <w:gridCol w:w="1726"/>
        <w:gridCol w:w="1727"/>
        <w:gridCol w:w="1726"/>
        <w:gridCol w:w="1727"/>
      </w:tblGrid>
      <w:tr w:rsidR="005344DE" w:rsidRPr="002612EB">
        <w:trPr>
          <w:jc w:val="center"/>
        </w:trPr>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Continent</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Region</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Screen Time</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Addiction</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Mental Risk</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Digital Wellbeing</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Europe</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Southern Europe</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5.00</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50.94</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39.30</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83.41</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Europe</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Western Europe</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4.92</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50.33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38.83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84.12</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Asia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East Asia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4.72</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50.11</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38.68</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84.17</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Asia/Europe</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Middle East</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4.82</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50.08</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38.73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83.55</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North America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Latin America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4.80</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50.03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38.98</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83.80</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North America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North America</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4.91</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50.03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38.37</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84.07</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noProof/>
          <w:sz w:val="24"/>
          <w:szCs w:val="24"/>
        </w:rPr>
        <w:drawing>
          <wp:inline distT="0" distB="0" distL="0" distR="0">
            <wp:extent cx="603504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regions_addiction_2026.png"/>
                    <pic:cNvPicPr/>
                  </pic:nvPicPr>
                  <pic:blipFill>
                    <a:blip r:embed="rId9"/>
                    <a:stretch>
                      <a:fillRect/>
                    </a:stretch>
                  </pic:blipFill>
                  <pic:spPr>
                    <a:xfrm>
                      <a:off x="0" y="0"/>
                      <a:ext cx="6035040" cy="3352800"/>
                    </a:xfrm>
                    <a:prstGeom prst="rect">
                      <a:avLst/>
                    </a:prstGeom>
                  </pic:spPr>
                </pic:pic>
              </a:graphicData>
            </a:graphic>
          </wp:inline>
        </w:drawing>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i/>
          <w:sz w:val="24"/>
          <w:szCs w:val="24"/>
        </w:rPr>
        <w:t>Figure 2: Top regional addiction scores</w:t>
      </w:r>
      <w:r w:rsidRPr="002612EB">
        <w:rPr>
          <w:rFonts w:ascii="Times New Roman" w:hAnsi="Times New Roman" w:cs="Times New Roman"/>
          <w:i/>
          <w:sz w:val="24"/>
          <w:szCs w:val="24"/>
        </w:rPr>
        <w:t xml:space="preserve"> in 2026.</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4.4 Urban-Rural Pattern: Urban Teens Show Higher Average Addiction Score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lastRenderedPageBreak/>
        <w:t>Urban and semi-urban groups show higher average screen time and addiction scores than rural groups. This is consistent with a likely combination of stronger device access, m</w:t>
      </w:r>
      <w:r w:rsidRPr="002612EB">
        <w:rPr>
          <w:rFonts w:ascii="Times New Roman" w:hAnsi="Times New Roman" w:cs="Times New Roman"/>
          <w:sz w:val="24"/>
          <w:szCs w:val="24"/>
        </w:rPr>
        <w:t>ore stable connectivity, higher notification exposure, and greater integration of digital platforms into daily routines.</w:t>
      </w:r>
    </w:p>
    <w:tbl>
      <w:tblPr>
        <w:tblStyle w:val="TableGrid"/>
        <w:tblW w:w="0" w:type="auto"/>
        <w:jc w:val="center"/>
        <w:tblLook w:val="04A0" w:firstRow="1" w:lastRow="0" w:firstColumn="1" w:lastColumn="0" w:noHBand="0" w:noVBand="1"/>
      </w:tblPr>
      <w:tblGrid>
        <w:gridCol w:w="1725"/>
        <w:gridCol w:w="1725"/>
        <w:gridCol w:w="1727"/>
        <w:gridCol w:w="1726"/>
        <w:gridCol w:w="1727"/>
        <w:gridCol w:w="1728"/>
      </w:tblGrid>
      <w:tr w:rsidR="005344DE" w:rsidRPr="002612EB">
        <w:trPr>
          <w:jc w:val="center"/>
        </w:trPr>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Setting</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Screen Time</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Addiction</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Mental Risk</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Wellbeing</w:t>
            </w:r>
          </w:p>
        </w:tc>
        <w:tc>
          <w:tcPr>
            <w:tcW w:w="1728"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Cyberbullying</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Rural</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4.41</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47.72</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37.70</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85.87</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0.16</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Semi-urban</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4.63</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48.78</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38.02</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84.85</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0.15</w:t>
            </w:r>
          </w:p>
        </w:tc>
      </w:tr>
      <w:tr w:rsidR="005344DE" w:rsidRPr="002612EB">
        <w:trPr>
          <w:jc w:val="center"/>
        </w:trPr>
        <w:tc>
          <w:tcPr>
            <w:tcW w:w="1728"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Urban</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4.74</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49.20</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38.36</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84.55</w:t>
            </w:r>
          </w:p>
        </w:tc>
        <w:tc>
          <w:tcPr>
            <w:tcW w:w="1728"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0.15</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4.5 Behavioural Segments: Sleep-Disrupted Heavy Users Are the Highest Priority Group</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 xml:space="preserve">The behaviour segmentation highlights one especially important intervention group: Sleep Disrupted Heavy Users. This group </w:t>
      </w:r>
      <w:r w:rsidRPr="002612EB">
        <w:rPr>
          <w:rFonts w:ascii="Times New Roman" w:hAnsi="Times New Roman" w:cs="Times New Roman"/>
          <w:sz w:val="24"/>
          <w:szCs w:val="24"/>
        </w:rPr>
        <w:t>records the highest daily screen time, highest social media hours, lowest sleep, highest addiction score, highest mental health risk, and lowest digital wellbeing. For NGO programming, this segment represents a high-priority target for school-based digital</w:t>
      </w:r>
      <w:r w:rsidRPr="002612EB">
        <w:rPr>
          <w:rFonts w:ascii="Times New Roman" w:hAnsi="Times New Roman" w:cs="Times New Roman"/>
          <w:sz w:val="24"/>
          <w:szCs w:val="24"/>
        </w:rPr>
        <w:t xml:space="preserve"> wellbeing interventions, sleep hygiene programmes, parent engagement and counselling referral pathways.</w:t>
      </w:r>
    </w:p>
    <w:tbl>
      <w:tblPr>
        <w:tblStyle w:val="TableGrid"/>
        <w:tblW w:w="0" w:type="auto"/>
        <w:jc w:val="center"/>
        <w:tblLook w:val="04A0" w:firstRow="1" w:lastRow="0" w:firstColumn="1" w:lastColumn="0" w:noHBand="0" w:noVBand="1"/>
      </w:tblPr>
      <w:tblGrid>
        <w:gridCol w:w="1481"/>
        <w:gridCol w:w="1480"/>
        <w:gridCol w:w="1479"/>
        <w:gridCol w:w="1479"/>
        <w:gridCol w:w="1479"/>
        <w:gridCol w:w="1480"/>
        <w:gridCol w:w="1480"/>
      </w:tblGrid>
      <w:tr w:rsidR="005344DE" w:rsidRPr="002612EB">
        <w:trPr>
          <w:jc w:val="center"/>
        </w:trPr>
        <w:tc>
          <w:tcPr>
            <w:tcW w:w="1481"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Segment</w:t>
            </w:r>
          </w:p>
        </w:tc>
        <w:tc>
          <w:tcPr>
            <w:tcW w:w="1481"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Records</w:t>
            </w:r>
          </w:p>
        </w:tc>
        <w:tc>
          <w:tcPr>
            <w:tcW w:w="1481"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Screen Time</w:t>
            </w:r>
          </w:p>
        </w:tc>
        <w:tc>
          <w:tcPr>
            <w:tcW w:w="1481"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Social Media</w:t>
            </w:r>
          </w:p>
        </w:tc>
        <w:tc>
          <w:tcPr>
            <w:tcW w:w="1481"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Sleep</w:t>
            </w:r>
          </w:p>
        </w:tc>
        <w:tc>
          <w:tcPr>
            <w:tcW w:w="1481"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Addiction</w:t>
            </w:r>
          </w:p>
        </w:tc>
        <w:tc>
          <w:tcPr>
            <w:tcW w:w="1481"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Mental Risk</w:t>
            </w:r>
          </w:p>
        </w:tc>
      </w:tr>
      <w:tr w:rsidR="005344DE" w:rsidRPr="002612EB">
        <w:trPr>
          <w:jc w:val="center"/>
        </w:trPr>
        <w:tc>
          <w:tcPr>
            <w:tcW w:w="1481"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Digitally Active but Supported</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22774</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5.94</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3.12</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7.40</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55.59</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41.70</w:t>
            </w:r>
          </w:p>
        </w:tc>
      </w:tr>
      <w:tr w:rsidR="005344DE" w:rsidRPr="002612EB">
        <w:trPr>
          <w:jc w:val="center"/>
        </w:trPr>
        <w:tc>
          <w:tcPr>
            <w:tcW w:w="1481"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Digitally Active</w:t>
            </w:r>
            <w:r w:rsidRPr="002612EB">
              <w:rPr>
                <w:rFonts w:ascii="Times New Roman" w:hAnsi="Times New Roman" w:cs="Times New Roman"/>
                <w:color w:val="111827"/>
                <w:sz w:val="24"/>
                <w:szCs w:val="24"/>
              </w:rPr>
              <w:t xml:space="preserve"> but Supported</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55647</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4.01</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1.94</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8.07</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41.15</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33.41</w:t>
            </w:r>
          </w:p>
        </w:tc>
      </w:tr>
      <w:tr w:rsidR="005344DE" w:rsidRPr="002612EB">
        <w:trPr>
          <w:jc w:val="center"/>
        </w:trPr>
        <w:tc>
          <w:tcPr>
            <w:tcW w:w="1481"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Sleep Disrupted Heavy Users</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34661</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7.76</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4.70</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6.50</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74.37</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52.62</w:t>
            </w:r>
          </w:p>
        </w:tc>
      </w:tr>
      <w:tr w:rsidR="005344DE" w:rsidRPr="002612EB">
        <w:trPr>
          <w:jc w:val="center"/>
        </w:trPr>
        <w:tc>
          <w:tcPr>
            <w:tcW w:w="1481"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Digitally Active but Supported</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66362</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6.04</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3.16</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7.31</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56.70</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42.61</w:t>
            </w:r>
          </w:p>
        </w:tc>
      </w:tr>
      <w:tr w:rsidR="005344DE" w:rsidRPr="002612EB">
        <w:trPr>
          <w:jc w:val="center"/>
        </w:trPr>
        <w:tc>
          <w:tcPr>
            <w:tcW w:w="1481"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Digitally Active but Supported</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20556</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5.82</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3.04</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7.41</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55.24</w:t>
            </w:r>
          </w:p>
        </w:tc>
        <w:tc>
          <w:tcPr>
            <w:tcW w:w="1481"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41.53</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t xml:space="preserve">5. Predictive </w:t>
      </w:r>
      <w:r w:rsidRPr="002612EB">
        <w:rPr>
          <w:rFonts w:ascii="Times New Roman" w:hAnsi="Times New Roman" w:cs="Times New Roman"/>
          <w:color w:val="0F172A"/>
          <w:sz w:val="24"/>
          <w:szCs w:val="24"/>
        </w:rPr>
        <w:t>and Forecast Insights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5.1 Strongest Risk Drivers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lastRenderedPageBreak/>
        <w:t>The feature-importance file indicates that the most influential predictor is social media addiction score, followed by smartphone dependency score, social media hours, daily screen time, eye strain, sleep ho</w:t>
      </w:r>
      <w:r w:rsidRPr="002612EB">
        <w:rPr>
          <w:rFonts w:ascii="Times New Roman" w:hAnsi="Times New Roman" w:cs="Times New Roman"/>
          <w:sz w:val="24"/>
          <w:szCs w:val="24"/>
        </w:rPr>
        <w:t>urs, notifications, night screen time, fear of missing out and attention span. These drivers are practical because they can be translated into intervention indicators and monitoring tools.</w:t>
      </w:r>
    </w:p>
    <w:tbl>
      <w:tblPr>
        <w:tblStyle w:val="TableGrid"/>
        <w:tblW w:w="0" w:type="auto"/>
        <w:jc w:val="center"/>
        <w:tblLook w:val="04A0" w:firstRow="1" w:lastRow="0" w:firstColumn="1" w:lastColumn="0" w:noHBand="0" w:noVBand="1"/>
      </w:tblPr>
      <w:tblGrid>
        <w:gridCol w:w="5179"/>
        <w:gridCol w:w="5179"/>
      </w:tblGrid>
      <w:tr w:rsidR="005344DE" w:rsidRPr="002612EB">
        <w:trPr>
          <w:jc w:val="center"/>
        </w:trPr>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Feature</w:t>
            </w:r>
          </w:p>
        </w:tc>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Importance</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Social Media Addiction Score</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0.253</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 xml:space="preserve">Smartphone </w:t>
            </w:r>
            <w:r w:rsidRPr="002612EB">
              <w:rPr>
                <w:rFonts w:ascii="Times New Roman" w:hAnsi="Times New Roman" w:cs="Times New Roman"/>
                <w:color w:val="111827"/>
                <w:sz w:val="24"/>
                <w:szCs w:val="24"/>
              </w:rPr>
              <w:t>Dependency Score</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0.153</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Social Media Hours</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0.111</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Daily Screen Time Hours</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0.071</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Eye Strain Score</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0.057</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Sleep Hours</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0.053</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Daily Notifications</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0.045</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Night Screen Time Hours</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0.040</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Fear Of Missing Out Score</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0.036</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Attention Span Minutes</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0.033</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noProof/>
          <w:sz w:val="24"/>
          <w:szCs w:val="24"/>
        </w:rPr>
        <w:drawing>
          <wp:inline distT="0" distB="0" distL="0" distR="0">
            <wp:extent cx="5852160" cy="325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top10.png"/>
                    <pic:cNvPicPr/>
                  </pic:nvPicPr>
                  <pic:blipFill>
                    <a:blip r:embed="rId10"/>
                    <a:stretch>
                      <a:fillRect/>
                    </a:stretch>
                  </pic:blipFill>
                  <pic:spPr>
                    <a:xfrm>
                      <a:off x="0" y="0"/>
                      <a:ext cx="5852160" cy="3251200"/>
                    </a:xfrm>
                    <a:prstGeom prst="rect">
                      <a:avLst/>
                    </a:prstGeom>
                  </pic:spPr>
                </pic:pic>
              </a:graphicData>
            </a:graphic>
          </wp:inline>
        </w:drawing>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i/>
          <w:sz w:val="24"/>
          <w:szCs w:val="24"/>
        </w:rPr>
        <w:t>Figure 3:</w:t>
      </w:r>
      <w:r w:rsidRPr="002612EB">
        <w:rPr>
          <w:rFonts w:ascii="Times New Roman" w:hAnsi="Times New Roman" w:cs="Times New Roman"/>
          <w:i/>
          <w:sz w:val="24"/>
          <w:szCs w:val="24"/>
        </w:rPr>
        <w:t xml:space="preserve"> Top model feature importance indicators.</w:t>
      </w:r>
    </w:p>
    <w:p w:rsidR="0048291C" w:rsidRDefault="0048291C" w:rsidP="002612EB">
      <w:pPr>
        <w:spacing w:line="360" w:lineRule="auto"/>
        <w:jc w:val="both"/>
        <w:rPr>
          <w:rFonts w:ascii="Times New Roman" w:hAnsi="Times New Roman" w:cs="Times New Roman"/>
          <w:color w:val="1E40AF"/>
          <w:sz w:val="24"/>
          <w:szCs w:val="24"/>
        </w:rPr>
      </w:pPr>
    </w:p>
    <w:p w:rsidR="0048291C" w:rsidRDefault="0048291C" w:rsidP="002612EB">
      <w:pPr>
        <w:spacing w:line="360" w:lineRule="auto"/>
        <w:jc w:val="both"/>
        <w:rPr>
          <w:rFonts w:ascii="Times New Roman" w:hAnsi="Times New Roman" w:cs="Times New Roman"/>
          <w:color w:val="1E40AF"/>
          <w:sz w:val="24"/>
          <w:szCs w:val="24"/>
        </w:rPr>
      </w:pPr>
    </w:p>
    <w:p w:rsidR="0048291C" w:rsidRDefault="0048291C" w:rsidP="002612EB">
      <w:pPr>
        <w:spacing w:line="360" w:lineRule="auto"/>
        <w:jc w:val="both"/>
        <w:rPr>
          <w:rFonts w:ascii="Times New Roman" w:hAnsi="Times New Roman" w:cs="Times New Roman"/>
          <w:color w:val="1E40AF"/>
          <w:sz w:val="24"/>
          <w:szCs w:val="24"/>
        </w:rPr>
      </w:pP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lastRenderedPageBreak/>
        <w:t>5.2 Forecast Implications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Forecast averages suggest an increase in addiction risk from 55.18 in 2026 to 67.08 by 2060. Mental health risk is projected to increase from 41.57 in 2026 to 50.50 by 2060. These projecti</w:t>
      </w:r>
      <w:r w:rsidRPr="002612EB">
        <w:rPr>
          <w:rFonts w:ascii="Times New Roman" w:hAnsi="Times New Roman" w:cs="Times New Roman"/>
          <w:sz w:val="24"/>
          <w:szCs w:val="24"/>
        </w:rPr>
        <w:t>ons strengthen the case for early preventive interventions rather than waiting until digital risk becomes a crisis management issue.</w:t>
      </w:r>
    </w:p>
    <w:tbl>
      <w:tblPr>
        <w:tblStyle w:val="TableGrid"/>
        <w:tblW w:w="0" w:type="auto"/>
        <w:jc w:val="center"/>
        <w:tblLook w:val="04A0" w:firstRow="1" w:lastRow="0" w:firstColumn="1" w:lastColumn="0" w:noHBand="0" w:noVBand="1"/>
      </w:tblPr>
      <w:tblGrid>
        <w:gridCol w:w="3453"/>
        <w:gridCol w:w="3453"/>
        <w:gridCol w:w="3452"/>
      </w:tblGrid>
      <w:tr w:rsidR="005344DE" w:rsidRPr="002612EB">
        <w:trPr>
          <w:jc w:val="center"/>
        </w:trPr>
        <w:tc>
          <w:tcPr>
            <w:tcW w:w="3456"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Period</w:t>
            </w:r>
          </w:p>
        </w:tc>
        <w:tc>
          <w:tcPr>
            <w:tcW w:w="3456"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Mean Addiction Risk</w:t>
            </w:r>
          </w:p>
        </w:tc>
        <w:tc>
          <w:tcPr>
            <w:tcW w:w="3456"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Mean Mental Health Risk</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2026 baseline</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55.18</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41.57</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2030 projection</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56.58</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42.62</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2040 projection</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60.08</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45.25</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2050 projection</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63.58</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47.87</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2060 projection</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67.08</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50.50</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t>6. Dashboard Product Overview</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 xml:space="preserve">The final dashboard was converted from a Python Dash prototype into a static interactive HTML/CSS/JavaScript product. This allows the dashboard to be </w:t>
      </w:r>
      <w:r w:rsidRPr="002612EB">
        <w:rPr>
          <w:rFonts w:ascii="Times New Roman" w:hAnsi="Times New Roman" w:cs="Times New Roman"/>
          <w:sz w:val="24"/>
          <w:szCs w:val="24"/>
        </w:rPr>
        <w:t>hosted on GitHub Pages without requiring a Python server, Render deployment, or paid infrastructure. The dashboard is suitable for boardroom demonstration because it opens through a normal browser link.</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Dashboard Modules</w:t>
      </w:r>
    </w:p>
    <w:p w:rsidR="005344DE" w:rsidRPr="0048291C" w:rsidRDefault="00910CC8" w:rsidP="0048291C">
      <w:pPr>
        <w:pStyle w:val="ListParagraph"/>
        <w:numPr>
          <w:ilvl w:val="0"/>
          <w:numId w:val="10"/>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Executive KPI cards showing headlin</w:t>
      </w:r>
      <w:r w:rsidRPr="0048291C">
        <w:rPr>
          <w:rFonts w:ascii="Times New Roman" w:hAnsi="Times New Roman" w:cs="Times New Roman"/>
          <w:color w:val="111827"/>
          <w:sz w:val="24"/>
          <w:szCs w:val="24"/>
        </w:rPr>
        <w:t>e records, countries, regions and average screen time.</w:t>
      </w:r>
    </w:p>
    <w:p w:rsidR="005344DE" w:rsidRPr="0048291C" w:rsidRDefault="00910CC8" w:rsidP="0048291C">
      <w:pPr>
        <w:pStyle w:val="ListParagraph"/>
        <w:numPr>
          <w:ilvl w:val="0"/>
          <w:numId w:val="10"/>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Country selector enabling users to update trend and forecast views interactively.</w:t>
      </w:r>
    </w:p>
    <w:p w:rsidR="005344DE" w:rsidRPr="0048291C" w:rsidRDefault="00910CC8" w:rsidP="0048291C">
      <w:pPr>
        <w:pStyle w:val="ListParagraph"/>
        <w:numPr>
          <w:ilvl w:val="0"/>
          <w:numId w:val="10"/>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Trend chart showing screen time, sleep, addiction and mental health risk over time.</w:t>
      </w:r>
    </w:p>
    <w:p w:rsidR="005344DE" w:rsidRPr="0048291C" w:rsidRDefault="00910CC8" w:rsidP="0048291C">
      <w:pPr>
        <w:pStyle w:val="ListParagraph"/>
        <w:numPr>
          <w:ilvl w:val="0"/>
          <w:numId w:val="10"/>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 xml:space="preserve">Top 10 high-risk country ranking </w:t>
      </w:r>
      <w:r w:rsidRPr="0048291C">
        <w:rPr>
          <w:rFonts w:ascii="Times New Roman" w:hAnsi="Times New Roman" w:cs="Times New Roman"/>
          <w:color w:val="111827"/>
          <w:sz w:val="24"/>
          <w:szCs w:val="24"/>
        </w:rPr>
        <w:t>chart for board-level prioritisation.</w:t>
      </w:r>
    </w:p>
    <w:p w:rsidR="005344DE" w:rsidRPr="0048291C" w:rsidRDefault="00910CC8" w:rsidP="0048291C">
      <w:pPr>
        <w:pStyle w:val="ListParagraph"/>
        <w:numPr>
          <w:ilvl w:val="0"/>
          <w:numId w:val="10"/>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Regional addiction comparison chart.</w:t>
      </w:r>
    </w:p>
    <w:p w:rsidR="005344DE" w:rsidRPr="0048291C" w:rsidRDefault="00910CC8" w:rsidP="0048291C">
      <w:pPr>
        <w:pStyle w:val="ListParagraph"/>
        <w:numPr>
          <w:ilvl w:val="0"/>
          <w:numId w:val="10"/>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Urban versus rural addiction risk chart.</w:t>
      </w:r>
    </w:p>
    <w:p w:rsidR="005344DE" w:rsidRPr="0048291C" w:rsidRDefault="00910CC8" w:rsidP="0048291C">
      <w:pPr>
        <w:pStyle w:val="ListParagraph"/>
        <w:numPr>
          <w:ilvl w:val="0"/>
          <w:numId w:val="10"/>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Forecast analytics for long-term risk discussion.</w:t>
      </w:r>
    </w:p>
    <w:p w:rsidR="005344DE" w:rsidRPr="0048291C" w:rsidRDefault="00910CC8" w:rsidP="0048291C">
      <w:pPr>
        <w:pStyle w:val="ListParagraph"/>
        <w:numPr>
          <w:ilvl w:val="0"/>
          <w:numId w:val="10"/>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Behaviour segmentation visualisation.</w:t>
      </w:r>
    </w:p>
    <w:p w:rsidR="005344DE" w:rsidRPr="0048291C" w:rsidRDefault="00910CC8" w:rsidP="0048291C">
      <w:pPr>
        <w:pStyle w:val="ListParagraph"/>
        <w:numPr>
          <w:ilvl w:val="0"/>
          <w:numId w:val="10"/>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Searchable country risk overview table.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Technical St</w:t>
      </w:r>
      <w:r w:rsidRPr="002612EB">
        <w:rPr>
          <w:rFonts w:ascii="Times New Roman" w:hAnsi="Times New Roman" w:cs="Times New Roman"/>
          <w:color w:val="1E40AF"/>
          <w:sz w:val="24"/>
          <w:szCs w:val="24"/>
        </w:rPr>
        <w:t>ack</w:t>
      </w:r>
    </w:p>
    <w:tbl>
      <w:tblPr>
        <w:tblStyle w:val="TableGrid"/>
        <w:tblW w:w="0" w:type="auto"/>
        <w:jc w:val="center"/>
        <w:tblLook w:val="04A0" w:firstRow="1" w:lastRow="0" w:firstColumn="1" w:lastColumn="0" w:noHBand="0" w:noVBand="1"/>
      </w:tblPr>
      <w:tblGrid>
        <w:gridCol w:w="5179"/>
        <w:gridCol w:w="5179"/>
      </w:tblGrid>
      <w:tr w:rsidR="005344DE" w:rsidRPr="002612EB">
        <w:trPr>
          <w:jc w:val="center"/>
        </w:trPr>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Layer</w:t>
            </w:r>
          </w:p>
        </w:tc>
        <w:tc>
          <w:tcPr>
            <w:tcW w:w="5184"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Technology / Approach</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Data preparation</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Python, Pandas, CSV summary files</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Visualisation prototype</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Plotly charts and dashboard layout design</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Final web version</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HTML5, CSS3, JavaScript, Plotly.js and PapaParse</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lastRenderedPageBreak/>
              <w:t>Hosting approach</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GitHub Pages static</w:t>
            </w:r>
            <w:r w:rsidRPr="002612EB">
              <w:rPr>
                <w:rFonts w:ascii="Times New Roman" w:hAnsi="Times New Roman" w:cs="Times New Roman"/>
                <w:color w:val="111827"/>
                <w:sz w:val="24"/>
                <w:szCs w:val="24"/>
              </w:rPr>
              <w:t xml:space="preserve"> web deployment</w:t>
            </w:r>
          </w:p>
        </w:tc>
      </w:tr>
      <w:tr w:rsidR="005344DE" w:rsidRPr="002612EB">
        <w:trPr>
          <w:jc w:val="center"/>
        </w:trPr>
        <w:tc>
          <w:tcPr>
            <w:tcW w:w="5184"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Accessibility advantage</w:t>
            </w:r>
          </w:p>
        </w:tc>
        <w:tc>
          <w:tcPr>
            <w:tcW w:w="5184"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Runs in browser without Python installation for end users</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t>7. Recommendations for NGO and Board Action</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7.1 Programme Recommendations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Launch a school-based digital wellbeing pilot focused on screen-time awareness, sl</w:t>
      </w:r>
      <w:r w:rsidRPr="002612EB">
        <w:rPr>
          <w:rFonts w:ascii="Times New Roman" w:hAnsi="Times New Roman" w:cs="Times New Roman"/>
          <w:color w:val="111827"/>
          <w:sz w:val="24"/>
          <w:szCs w:val="24"/>
        </w:rPr>
        <w:t>eep hygiene, online safety and responsible social media use.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Create a teen digital wellbeing curriculum module for schools and youth centres.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Prioritise Sleep Disrupted Heavy Users as a high-risk intervention group.</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Develop parent education sessions on nig</w:t>
      </w:r>
      <w:r w:rsidRPr="002612EB">
        <w:rPr>
          <w:rFonts w:ascii="Times New Roman" w:hAnsi="Times New Roman" w:cs="Times New Roman"/>
          <w:color w:val="111827"/>
          <w:sz w:val="24"/>
          <w:szCs w:val="24"/>
        </w:rPr>
        <w:t>ht screen use, notifications, device boundaries and cyberbullying response.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Integrate digital wellbeing screening into youth counselling, mentorship and school support programmes.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 xml:space="preserve">Build referral partnerships with counsellors, child psychologists and child </w:t>
      </w:r>
      <w:r w:rsidRPr="002612EB">
        <w:rPr>
          <w:rFonts w:ascii="Times New Roman" w:hAnsi="Times New Roman" w:cs="Times New Roman"/>
          <w:color w:val="111827"/>
          <w:sz w:val="24"/>
          <w:szCs w:val="24"/>
        </w:rPr>
        <w:t>protection professionals for high-risk cases.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7.2 Advocacy and Partnership Recommendations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Use dashboard visuals for donor briefings, policy roundtables, school board presentations and child online safety campaigns.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Partner with schools, parent-teacher ass</w:t>
      </w:r>
      <w:r w:rsidRPr="002612EB">
        <w:rPr>
          <w:rFonts w:ascii="Times New Roman" w:hAnsi="Times New Roman" w:cs="Times New Roman"/>
          <w:color w:val="111827"/>
          <w:sz w:val="24"/>
          <w:szCs w:val="24"/>
        </w:rPr>
        <w:t>ociations, youth clubs, religious organisations and community leaders to localise interventions.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Develop annual digital wellbeing scorecards for programme areas.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Advocate for balanced digital literacy policies that address both opportunity and risk.</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Encourage responsible technology use without demonising social media or young people.</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E40AF"/>
          <w:sz w:val="24"/>
          <w:szCs w:val="24"/>
        </w:rPr>
        <w:t>7.3 Data and Research Recommendations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Follow this synthetic model with real survey collection from schools and communities.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Add age, gender, school level, device ownershi</w:t>
      </w:r>
      <w:r w:rsidRPr="002612EB">
        <w:rPr>
          <w:rFonts w:ascii="Times New Roman" w:hAnsi="Times New Roman" w:cs="Times New Roman"/>
          <w:color w:val="111827"/>
          <w:sz w:val="24"/>
          <w:szCs w:val="24"/>
        </w:rPr>
        <w:t>p, parental monitoring, internet access and socioeconomic variables to future data collection.</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lastRenderedPageBreak/>
        <w:t>Create a consent-aware and child-safe data collection protocol.</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Validate risk thresholds with mental health and education professionals.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Track outcomes before an</w:t>
      </w:r>
      <w:r w:rsidRPr="002612EB">
        <w:rPr>
          <w:rFonts w:ascii="Times New Roman" w:hAnsi="Times New Roman" w:cs="Times New Roman"/>
          <w:color w:val="111827"/>
          <w:sz w:val="24"/>
          <w:szCs w:val="24"/>
        </w:rPr>
        <w:t>d after programme implementation.</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t>8. Proposed Implementation Roadmap</w:t>
      </w:r>
    </w:p>
    <w:tbl>
      <w:tblPr>
        <w:tblStyle w:val="TableGrid"/>
        <w:tblW w:w="0" w:type="auto"/>
        <w:jc w:val="center"/>
        <w:tblLook w:val="04A0" w:firstRow="1" w:lastRow="0" w:firstColumn="1" w:lastColumn="0" w:noHBand="0" w:noVBand="1"/>
      </w:tblPr>
      <w:tblGrid>
        <w:gridCol w:w="3453"/>
        <w:gridCol w:w="3453"/>
        <w:gridCol w:w="3452"/>
      </w:tblGrid>
      <w:tr w:rsidR="005344DE" w:rsidRPr="002612EB">
        <w:trPr>
          <w:jc w:val="center"/>
        </w:trPr>
        <w:tc>
          <w:tcPr>
            <w:tcW w:w="3456"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Phase</w:t>
            </w:r>
          </w:p>
        </w:tc>
        <w:tc>
          <w:tcPr>
            <w:tcW w:w="3456"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Core Activities</w:t>
            </w:r>
          </w:p>
        </w:tc>
        <w:tc>
          <w:tcPr>
            <w:tcW w:w="3456" w:type="dxa"/>
            <w:shd w:val="clear" w:color="auto" w:fill="1D4ED8"/>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FFFFFF"/>
                <w:sz w:val="24"/>
                <w:szCs w:val="24"/>
              </w:rPr>
              <w:t>Indicative Timeline</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Phase 1: Board approval</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 xml:space="preserve">Present dashboard, approve pilot objectives, </w:t>
            </w:r>
            <w:proofErr w:type="gramStart"/>
            <w:r w:rsidRPr="002612EB">
              <w:rPr>
                <w:rFonts w:ascii="Times New Roman" w:hAnsi="Times New Roman" w:cs="Times New Roman"/>
                <w:color w:val="111827"/>
                <w:sz w:val="24"/>
                <w:szCs w:val="24"/>
              </w:rPr>
              <w:t>define</w:t>
            </w:r>
            <w:proofErr w:type="gramEnd"/>
            <w:r w:rsidRPr="002612EB">
              <w:rPr>
                <w:rFonts w:ascii="Times New Roman" w:hAnsi="Times New Roman" w:cs="Times New Roman"/>
                <w:color w:val="111827"/>
                <w:sz w:val="24"/>
                <w:szCs w:val="24"/>
              </w:rPr>
              <w:t xml:space="preserve"> governance and safeguarding responsibilities.</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2-4 weeks</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 xml:space="preserve">Phase 2: </w:t>
            </w:r>
            <w:r w:rsidRPr="002612EB">
              <w:rPr>
                <w:rFonts w:ascii="Times New Roman" w:hAnsi="Times New Roman" w:cs="Times New Roman"/>
                <w:color w:val="111827"/>
                <w:sz w:val="24"/>
                <w:szCs w:val="24"/>
              </w:rPr>
              <w:t>Stakeholder validation</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Engage schools, parents, counsellors, youth representatives and digital safety partners.</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1-2 months</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Phase 3: Local data collection</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Collect real baseline data using ethical youth survey protocols.</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2-3 months</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Phase 4: Pilot intervent</w:t>
            </w:r>
            <w:r w:rsidRPr="002612EB">
              <w:rPr>
                <w:rFonts w:ascii="Times New Roman" w:hAnsi="Times New Roman" w:cs="Times New Roman"/>
                <w:color w:val="111827"/>
                <w:sz w:val="24"/>
                <w:szCs w:val="24"/>
              </w:rPr>
              <w:t>ion</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Implement school and community digital wellbeing sessions.</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3-6 months</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Phase 5: Monitoring and evaluation</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Measure changes in screen time, sleep, cyberbullying awareness and wellbeing indicators.</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Ongoing</w:t>
            </w:r>
          </w:p>
        </w:tc>
      </w:tr>
      <w:tr w:rsidR="005344DE" w:rsidRPr="002612EB">
        <w:trPr>
          <w:jc w:val="center"/>
        </w:trPr>
        <w:tc>
          <w:tcPr>
            <w:tcW w:w="3456" w:type="dxa"/>
            <w:shd w:val="clear" w:color="auto" w:fill="F1F5F9"/>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Phase 6: Scale-up</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Expand to more schools/regions</w:t>
            </w:r>
            <w:r w:rsidRPr="002612EB">
              <w:rPr>
                <w:rFonts w:ascii="Times New Roman" w:hAnsi="Times New Roman" w:cs="Times New Roman"/>
                <w:color w:val="111827"/>
                <w:sz w:val="24"/>
                <w:szCs w:val="24"/>
              </w:rPr>
              <w:t xml:space="preserve"> and produce annual dashboard updates.</w:t>
            </w:r>
          </w:p>
        </w:tc>
        <w:tc>
          <w:tcPr>
            <w:tcW w:w="3456" w:type="dxa"/>
            <w:vAlign w:val="center"/>
          </w:tcPr>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111827"/>
                <w:sz w:val="24"/>
                <w:szCs w:val="24"/>
              </w:rPr>
              <w:t>6-12 months</w:t>
            </w:r>
          </w:p>
        </w:tc>
      </w:tr>
    </w:tbl>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t>9. Limitations and Ethical Considerations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 xml:space="preserve">The dashboard is a decision-support and communication tool. Because the data is synthetic/analytical, it should be used for modelling, demonstration, </w:t>
      </w:r>
      <w:proofErr w:type="gramStart"/>
      <w:r w:rsidRPr="002612EB">
        <w:rPr>
          <w:rFonts w:ascii="Times New Roman" w:hAnsi="Times New Roman" w:cs="Times New Roman"/>
          <w:sz w:val="24"/>
          <w:szCs w:val="24"/>
        </w:rPr>
        <w:t>planning</w:t>
      </w:r>
      <w:proofErr w:type="gramEnd"/>
      <w:r w:rsidRPr="002612EB">
        <w:rPr>
          <w:rFonts w:ascii="Times New Roman" w:hAnsi="Times New Roman" w:cs="Times New Roman"/>
          <w:sz w:val="24"/>
          <w:szCs w:val="24"/>
        </w:rPr>
        <w:t xml:space="preserve"> and</w:t>
      </w:r>
      <w:r w:rsidRPr="002612EB">
        <w:rPr>
          <w:rFonts w:ascii="Times New Roman" w:hAnsi="Times New Roman" w:cs="Times New Roman"/>
          <w:sz w:val="24"/>
          <w:szCs w:val="24"/>
        </w:rPr>
        <w:t xml:space="preserve"> stakeholder engagement rather than final public claims about specific countries or communities. Before operational use, an NGO should validate the trends with primary data, school surveys, expert review and local context analysis.</w:t>
      </w:r>
    </w:p>
    <w:p w:rsidR="005344DE" w:rsidRPr="0048291C" w:rsidRDefault="00910CC8" w:rsidP="0048291C">
      <w:pPr>
        <w:pStyle w:val="ListParagraph"/>
        <w:numPr>
          <w:ilvl w:val="0"/>
          <w:numId w:val="11"/>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Avoid labelling countrie</w:t>
      </w:r>
      <w:r w:rsidRPr="0048291C">
        <w:rPr>
          <w:rFonts w:ascii="Times New Roman" w:hAnsi="Times New Roman" w:cs="Times New Roman"/>
          <w:color w:val="111827"/>
          <w:sz w:val="24"/>
          <w:szCs w:val="24"/>
        </w:rPr>
        <w:t>s, regions or youth groups as problematic without contextual interpretation.</w:t>
      </w:r>
    </w:p>
    <w:p w:rsidR="005344DE" w:rsidRPr="0048291C" w:rsidRDefault="00910CC8" w:rsidP="0048291C">
      <w:pPr>
        <w:pStyle w:val="ListParagraph"/>
        <w:numPr>
          <w:ilvl w:val="0"/>
          <w:numId w:val="11"/>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Use child safeguarding principles when collecting or discussing teen digital behaviour data.</w:t>
      </w:r>
    </w:p>
    <w:p w:rsidR="005344DE" w:rsidRPr="0048291C" w:rsidRDefault="00910CC8" w:rsidP="0048291C">
      <w:pPr>
        <w:pStyle w:val="ListParagraph"/>
        <w:numPr>
          <w:ilvl w:val="0"/>
          <w:numId w:val="11"/>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Protect student privacy and avoid collecting unnecessary personally identifiable infor</w:t>
      </w:r>
      <w:r w:rsidRPr="0048291C">
        <w:rPr>
          <w:rFonts w:ascii="Times New Roman" w:hAnsi="Times New Roman" w:cs="Times New Roman"/>
          <w:color w:val="111827"/>
          <w:sz w:val="24"/>
          <w:szCs w:val="24"/>
        </w:rPr>
        <w:t>mation.</w:t>
      </w:r>
    </w:p>
    <w:p w:rsidR="005344DE" w:rsidRPr="0048291C" w:rsidRDefault="00910CC8" w:rsidP="0048291C">
      <w:pPr>
        <w:pStyle w:val="ListParagraph"/>
        <w:numPr>
          <w:ilvl w:val="0"/>
          <w:numId w:val="11"/>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Frame the issue as support, education and wellbeing, not blame or punishment.</w:t>
      </w:r>
    </w:p>
    <w:p w:rsidR="005344DE" w:rsidRPr="0048291C" w:rsidRDefault="00910CC8" w:rsidP="0048291C">
      <w:pPr>
        <w:pStyle w:val="ListParagraph"/>
        <w:numPr>
          <w:ilvl w:val="0"/>
          <w:numId w:val="11"/>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lastRenderedPageBreak/>
        <w:t>Ensure that interventions consider both online opportunity and online risk.</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color w:val="0F172A"/>
          <w:sz w:val="24"/>
          <w:szCs w:val="24"/>
        </w:rPr>
        <w:t>10. Boardroom Decision Points</w:t>
      </w:r>
    </w:p>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The board is invited to consider whether the dashboard should be</w:t>
      </w:r>
      <w:r w:rsidRPr="002612EB">
        <w:rPr>
          <w:rFonts w:ascii="Times New Roman" w:hAnsi="Times New Roman" w:cs="Times New Roman"/>
          <w:sz w:val="24"/>
          <w:szCs w:val="24"/>
        </w:rPr>
        <w:t xml:space="preserve"> adopted as a strategic communication and planning tool for digital wellbeing programming. The following decisions are recommended for discussion:</w:t>
      </w:r>
    </w:p>
    <w:p w:rsidR="005344DE" w:rsidRPr="0048291C" w:rsidRDefault="00910CC8" w:rsidP="0048291C">
      <w:pPr>
        <w:pStyle w:val="ListParagraph"/>
        <w:numPr>
          <w:ilvl w:val="0"/>
          <w:numId w:val="12"/>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Approve the dashboard for use in internal strategy meetings, donor discussions and programme design workshops</w:t>
      </w:r>
      <w:r w:rsidRPr="0048291C">
        <w:rPr>
          <w:rFonts w:ascii="Times New Roman" w:hAnsi="Times New Roman" w:cs="Times New Roman"/>
          <w:color w:val="111827"/>
          <w:sz w:val="24"/>
          <w:szCs w:val="24"/>
        </w:rPr>
        <w:t>.</w:t>
      </w:r>
    </w:p>
    <w:p w:rsidR="005344DE" w:rsidRPr="0048291C" w:rsidRDefault="00910CC8" w:rsidP="0048291C">
      <w:pPr>
        <w:pStyle w:val="ListParagraph"/>
        <w:numPr>
          <w:ilvl w:val="0"/>
          <w:numId w:val="12"/>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Approve a pilot digital wellbeing initiative for selected schools or youth communities.</w:t>
      </w:r>
    </w:p>
    <w:p w:rsidR="005344DE" w:rsidRPr="0048291C" w:rsidRDefault="00910CC8" w:rsidP="0048291C">
      <w:pPr>
        <w:pStyle w:val="ListParagraph"/>
        <w:numPr>
          <w:ilvl w:val="0"/>
          <w:numId w:val="12"/>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Approve the development of a real-world baseline survey instrument to validate local teen digital wellbeing indicators.</w:t>
      </w:r>
    </w:p>
    <w:p w:rsidR="005344DE" w:rsidRPr="0048291C" w:rsidRDefault="00910CC8" w:rsidP="0048291C">
      <w:pPr>
        <w:pStyle w:val="ListParagraph"/>
        <w:numPr>
          <w:ilvl w:val="0"/>
          <w:numId w:val="12"/>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Mandate a child safeguarding and data protecti</w:t>
      </w:r>
      <w:r w:rsidRPr="0048291C">
        <w:rPr>
          <w:rFonts w:ascii="Times New Roman" w:hAnsi="Times New Roman" w:cs="Times New Roman"/>
          <w:color w:val="111827"/>
          <w:sz w:val="24"/>
          <w:szCs w:val="24"/>
        </w:rPr>
        <w:t>on review before collecting primary data from minors.</w:t>
      </w:r>
    </w:p>
    <w:p w:rsidR="005344DE" w:rsidRPr="0048291C" w:rsidRDefault="00910CC8" w:rsidP="0048291C">
      <w:pPr>
        <w:pStyle w:val="ListParagraph"/>
        <w:numPr>
          <w:ilvl w:val="0"/>
          <w:numId w:val="12"/>
        </w:numPr>
        <w:spacing w:line="360" w:lineRule="auto"/>
        <w:jc w:val="both"/>
        <w:rPr>
          <w:rFonts w:ascii="Times New Roman" w:hAnsi="Times New Roman" w:cs="Times New Roman"/>
          <w:sz w:val="24"/>
          <w:szCs w:val="24"/>
        </w:rPr>
      </w:pPr>
      <w:r w:rsidRPr="0048291C">
        <w:rPr>
          <w:rFonts w:ascii="Times New Roman" w:hAnsi="Times New Roman" w:cs="Times New Roman"/>
          <w:color w:val="111827"/>
          <w:sz w:val="24"/>
          <w:szCs w:val="24"/>
        </w:rPr>
        <w:t>Identify strategic partners across education, mental health, child protection and technology sectors.</w:t>
      </w:r>
    </w:p>
    <w:p w:rsidR="005344DE" w:rsidRPr="0048291C" w:rsidRDefault="00910CC8" w:rsidP="002612EB">
      <w:pPr>
        <w:spacing w:line="360" w:lineRule="auto"/>
        <w:jc w:val="both"/>
        <w:rPr>
          <w:rFonts w:ascii="Times New Roman" w:hAnsi="Times New Roman" w:cs="Times New Roman"/>
          <w:b/>
          <w:sz w:val="24"/>
          <w:szCs w:val="24"/>
        </w:rPr>
      </w:pPr>
      <w:bookmarkStart w:id="0" w:name="_GoBack"/>
      <w:r w:rsidRPr="0048291C">
        <w:rPr>
          <w:rFonts w:ascii="Times New Roman" w:hAnsi="Times New Roman" w:cs="Times New Roman"/>
          <w:b/>
          <w:color w:val="0F172A"/>
          <w:sz w:val="24"/>
          <w:szCs w:val="24"/>
        </w:rPr>
        <w:t>Conclusion</w:t>
      </w:r>
    </w:p>
    <w:bookmarkEnd w:id="0"/>
    <w:p w:rsidR="005344DE" w:rsidRPr="002612EB" w:rsidRDefault="00910CC8" w:rsidP="002612EB">
      <w:pPr>
        <w:spacing w:line="360" w:lineRule="auto"/>
        <w:jc w:val="both"/>
        <w:rPr>
          <w:rFonts w:ascii="Times New Roman" w:hAnsi="Times New Roman" w:cs="Times New Roman"/>
          <w:sz w:val="24"/>
          <w:szCs w:val="24"/>
        </w:rPr>
      </w:pPr>
      <w:r w:rsidRPr="002612EB">
        <w:rPr>
          <w:rFonts w:ascii="Times New Roman" w:hAnsi="Times New Roman" w:cs="Times New Roman"/>
          <w:sz w:val="24"/>
          <w:szCs w:val="24"/>
        </w:rPr>
        <w:t>The Global Teen Social Media Behaviour and Digital Wellbeing Dashboard provides a practic</w:t>
      </w:r>
      <w:r w:rsidRPr="002612EB">
        <w:rPr>
          <w:rFonts w:ascii="Times New Roman" w:hAnsi="Times New Roman" w:cs="Times New Roman"/>
          <w:sz w:val="24"/>
          <w:szCs w:val="24"/>
        </w:rPr>
        <w:t>al bridge between data analysis and social impact decision-making. It enables NGOs and board-level stakeholders to move from general concern about social media use to structured insight, prioritised intervention, evidence-based communication and measurable</w:t>
      </w:r>
      <w:r w:rsidRPr="002612EB">
        <w:rPr>
          <w:rFonts w:ascii="Times New Roman" w:hAnsi="Times New Roman" w:cs="Times New Roman"/>
          <w:sz w:val="24"/>
          <w:szCs w:val="24"/>
        </w:rPr>
        <w:t xml:space="preserve"> programme planning. With validation through local data and ethical implementation, the project can support stronger digital wellbeing programmes for adolescents.</w:t>
      </w:r>
    </w:p>
    <w:sectPr w:rsidR="005344DE" w:rsidRPr="002612EB" w:rsidSect="00034616">
      <w:foot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0CC8" w:rsidRDefault="00910CC8">
      <w:pPr>
        <w:spacing w:after="0" w:line="240" w:lineRule="auto"/>
        <w:rPr>
          <w:rFonts w:hint="eastAsia"/>
        </w:rPr>
      </w:pPr>
      <w:r>
        <w:separator/>
      </w:r>
    </w:p>
  </w:endnote>
  <w:endnote w:type="continuationSeparator" w:id="0">
    <w:p w:rsidR="00910CC8" w:rsidRDefault="00910C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4DE" w:rsidRDefault="00910CC8">
    <w:pPr>
      <w:pStyle w:val="Footer"/>
      <w:jc w:val="center"/>
      <w:rPr>
        <w:rFonts w:hint="eastAsia"/>
      </w:rPr>
    </w:pPr>
    <w:r>
      <w:rPr>
        <w:color w:val="64748B"/>
        <w:sz w:val="16"/>
      </w:rPr>
      <w:t>Global Teen Social Medi</w:t>
    </w:r>
    <w:r>
      <w:rPr>
        <w:color w:val="64748B"/>
        <w:sz w:val="16"/>
      </w:rPr>
      <w:t>a Behaviour &amp; Digital Wellbeing Dashboard | Boardroom NGO Brief</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0CC8" w:rsidRDefault="00910CC8">
      <w:pPr>
        <w:spacing w:after="0" w:line="240" w:lineRule="auto"/>
        <w:rPr>
          <w:rFonts w:hint="eastAsia"/>
        </w:rPr>
      </w:pPr>
      <w:r>
        <w:separator/>
      </w:r>
    </w:p>
  </w:footnote>
  <w:footnote w:type="continuationSeparator" w:id="0">
    <w:p w:rsidR="00910CC8" w:rsidRDefault="00910CC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245AF"/>
    <w:multiLevelType w:val="hybridMultilevel"/>
    <w:tmpl w:val="000E5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60C86"/>
    <w:multiLevelType w:val="hybridMultilevel"/>
    <w:tmpl w:val="35149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934AA9"/>
    <w:multiLevelType w:val="hybridMultilevel"/>
    <w:tmpl w:val="158A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612EB"/>
    <w:rsid w:val="0029639D"/>
    <w:rsid w:val="00326F90"/>
    <w:rsid w:val="0048291C"/>
    <w:rsid w:val="005344DE"/>
    <w:rsid w:val="00910C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3E7E5"/>
  <w14:defaultImageDpi w14:val="300"/>
  <w15:docId w15:val="{66A28921-3AEA-4608-AA7C-87C6A3032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14C61-0AC0-4B81-99E9-C23AFF850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Bethel Loveth</cp:lastModifiedBy>
  <cp:revision>2</cp:revision>
  <dcterms:created xsi:type="dcterms:W3CDTF">2026-07-03T07:24:00Z</dcterms:created>
  <dcterms:modified xsi:type="dcterms:W3CDTF">2026-07-03T07:24:00Z</dcterms:modified>
  <cp:category/>
</cp:coreProperties>
</file>