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10" w:before="220"/>
      </w:pPr>
      <w:r>
        <w:rPr>
          <w:color w:val="1C7293"/>
        </w:rPr>
        <w:t xml:space="preserve">Storyline — PM2.5-Prognose Beijing</w:t>
      </w:r>
    </w:p>
    <w:p>
      <w:pPr>
        <w:spacing w:after="90"/>
      </w:pPr>
      <w:r>
        <w:rPr>
          <w:i/>
          <w:iCs/>
          <w:color w:val="555555"/>
        </w:rPr>
        <w:t xml:space="preserve">Klassik vs. Foundation-Modell vs. Deep Learning</w:t>
      </w:r>
    </w:p>
    <w:p>
      <w:pPr>
        <w:spacing w:after="90"/>
      </w:pPr>
      <w:r>
        <w:rPr>
          <w:b/>
          <w:bCs/>
        </w:rPr>
        <w:t xml:space="preserve">Roter Faden: </w:t>
      </w:r>
      <w:r>
        <w:t xml:space="preserve">„Wir vergleichen vier grundverschiedene Prognose-Philosophien fair auf denselben Daten — und die Antwort, welches Modell gewinnt, ist überraschend nuanciert."</w:t>
      </w:r>
    </w:p>
    <w:p>
      <w:pPr>
        <w:spacing w:after="90"/>
      </w:pPr>
      <w:r>
        <w:rPr>
          <w:color w:val="555555"/>
        </w:rPr>
        <w:t xml:space="preserve">Reihenfolge durchgängig: Seasonal-Naive → Prophet → Chronos-2 → TFT (einfach → komplex). Metrik: MASE (&lt; 1 = besser als die Naive-Baseline).</w:t>
      </w:r>
    </w:p>
    <w:p>
      <w:pPr>
        <w:pStyle w:val="Heading1"/>
        <w:spacing w:after="110" w:before="220"/>
      </w:pPr>
      <w:r>
        <w:rPr>
          <w:color w:val="222222"/>
        </w:rPr>
        <w:t xml:space="preserve">Teil 1 — Problem &amp; Aufgabe (2–3 Folien)</w:t>
      </w:r>
    </w:p>
    <w:p>
      <w:pPr>
        <w:pStyle w:val="Heading2"/>
        <w:spacing w:after="110" w:before="220"/>
      </w:pPr>
      <w:r>
        <w:rPr>
          <w:color w:val="222222"/>
        </w:rPr>
        <w:t xml:space="preserve">Folie 1 — Hook: Warum PM2.5 Beijing?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Feinstaub ist ein akutes Gesundheitsrisiko; verlässliche Kurzfrist-Prognosen (8–72 h) stützen Warnungen und Planung.</w:t>
      </w:r>
    </w:p>
    <w:p>
      <w:pPr>
        <w:spacing w:after="90"/>
      </w:pPr>
      <w:r>
        <w:rPr>
          <w:color w:val="555555"/>
        </w:rPr>
        <w:t xml:space="preserve">Bild peopleinbejing2013.jpeg, ein/zwei Health-Fakten.</w:t>
      </w:r>
    </w:p>
    <w:p>
      <w:pPr>
        <w:pStyle w:val="Heading2"/>
        <w:spacing w:after="110" w:before="220"/>
      </w:pPr>
      <w:r>
        <w:rPr>
          <w:color w:val="222222"/>
        </w:rPr>
        <w:t xml:space="preserve">Folie 2 — Datensatz &amp; Ziel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12 Messstationen, stündlich, 2013-03 bis 2017-02; Wetter + Co-Schadstoffe als Kovariaten. Ziel: PM2.5 mehrere Stunden voraus.</w:t>
      </w:r>
    </w:p>
    <w:p>
      <w:pPr>
        <w:pStyle w:val="Heading2"/>
        <w:spacing w:after="110" w:before="220"/>
      </w:pPr>
      <w:r>
        <w:rPr>
          <w:color w:val="222222"/>
        </w:rPr>
        <w:t xml:space="preserve">Folie 3 — Die Leitfrage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„Schlägt ein modernes Modell die simple Baseline — und lohnt sich Deep Learning gegenüber klassischer Statistik oder einem trainingsfreien Foundation-Modell?"</w:t>
      </w:r>
    </w:p>
    <w:p>
      <w:pPr>
        <w:pStyle w:val="Heading1"/>
        <w:spacing w:after="110" w:before="220"/>
      </w:pPr>
      <w:r>
        <w:rPr>
          <w:color w:val="222222"/>
        </w:rPr>
        <w:t xml:space="preserve">Teil 2 — Methodik &amp; die vier Ansätze (4–5 Folien)</w:t>
      </w:r>
    </w:p>
    <w:p>
      <w:pPr>
        <w:pStyle w:val="Heading2"/>
        <w:spacing w:after="110" w:before="220"/>
      </w:pPr>
      <w:r>
        <w:rPr>
          <w:color w:val="222222"/>
        </w:rPr>
        <w:t xml:space="preserve">Folie 4 — Fairer Testaufbau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Training bis 30.08.2016, Rolling-Window-Backtest 09/2016–02/2017 (Versatz 15 Tage, 12 Folds), Horizonte 8/24/48/72 h, alle Modelle auf identischen Fenstern. MASE erklären (1.0 = Naive-Niveau).</w:t>
      </w:r>
    </w:p>
    <w:p>
      <w:pPr>
        <w:pStyle w:val="Heading2"/>
        <w:spacing w:after="110" w:before="220"/>
      </w:pPr>
      <w:r>
        <w:rPr>
          <w:color w:val="222222"/>
        </w:rPr>
        <w:t xml:space="preserve">Folie 5 — Die vier Philosophien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Vier grundverschiedene Ansätze — genau das macht den Vergleich spannend.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0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0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Seasonal Naive</w:t>
            </w:r>
          </w:p>
        </w:tc>
        <w:tc>
          <w:tcPr>
            <w:tcW w:type="dxa" w:w="175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Prophet</w:t>
            </w:r>
          </w:p>
        </w:tc>
        <w:tc>
          <w:tcPr>
            <w:tcW w:type="dxa" w:w="175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Chronos-2</w:t>
            </w:r>
          </w:p>
        </w:tc>
        <w:tc>
          <w:tcPr>
            <w:tcW w:type="dxa" w:w="175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TFT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Typ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Baseline (Vorjahreswert)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klassisch-statistisch, additiv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Transformer-Foundation-Modell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tiefes neuronales Netz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Training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keins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 Fenster neu gefittet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zero-shot (kein Training)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einmal global, dann eingefroren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Stärke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robuster Referenzwert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interpretierbar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starke Muster ohne Training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komplexe, nichtlineare Muster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Schwäche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ignoriert aktuelle Lage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lineare Regressoren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Blackbox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Trainingsaufwand, Blackbox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10" w:before="220"/>
      </w:pPr>
      <w:r>
        <w:rPr>
          <w:color w:val="222222"/>
        </w:rPr>
        <w:t xml:space="preserve">Folie 6 — Annahmen &amp; Fairness (Vertrauens-Folie)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Wir legen die Spielregeln offen.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Perfect-Prognosis</w:t>
      </w:r>
      <w:r>
        <w:t xml:space="preserve"> = optimistische Obergrenze (Wetter „bekannt"); zusätzlich Persistenz-Variante.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TFT auf 30.08.2016 eingefroren, Prophet/Chronos nutzen pro Fold aktuellere Historie.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Test ist </w:t>
      </w:r>
      <w:r>
        <w:rPr>
          <w:b/>
          <w:bCs/>
        </w:rPr>
        <w:t xml:space="preserve">out-of-time</w:t>
      </w:r>
      <w:r>
        <w:t xml:space="preserve">, nicht out-of-station (alle 12 waren im TFT-Training).</w:t>
      </w:r>
    </w:p>
    <w:p>
      <w:pPr>
        <w:pStyle w:val="Heading1"/>
        <w:spacing w:after="110" w:before="220"/>
      </w:pPr>
      <w:r>
        <w:rPr>
          <w:color w:val="222222"/>
        </w:rPr>
        <w:t xml:space="preserve">Teil 3 — Ergebnisse (Herzstück, 4–5 Folien)</w:t>
      </w:r>
    </w:p>
    <w:p>
      <w:pPr>
        <w:pStyle w:val="Heading2"/>
        <w:spacing w:after="110" w:before="220"/>
      </w:pPr>
      <w:r>
        <w:rPr>
          <w:color w:val="222222"/>
        </w:rPr>
        <w:t xml:space="preserve">Folie 7 — Hauptergebnis: MASE/MAE je Horizont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rPr>
          <w:b/>
          <w:bCs/>
        </w:rPr>
        <w:t xml:space="preserve">Chronos-2 und TFT gleichauf an der Spitze</w:t>
      </w:r>
      <w:r>
        <w:t xml:space="preserve">, beide deutlich vor Prophet und Naive.</w:t>
      </w:r>
    </w:p>
    <w:p>
      <w:pPr>
        <w:spacing w:after="90"/>
      </w:pPr>
      <w:r>
        <w:rPr>
          <w:color w:val="555555"/>
        </w:rPr>
        <w:t xml:space="preserve">Grafik grafiken/vergleich_rolling_notebook.png. Zahlen (Mittel über alle 12 Stationen):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Horizont</w:t>
            </w:r>
          </w:p>
        </w:tc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Naive</w:t>
            </w:r>
          </w:p>
        </w:tc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Prophet (Pers.)</w:t>
            </w:r>
          </w:p>
        </w:tc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Prophet (PP)</w:t>
            </w:r>
          </w:p>
        </w:tc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Chronos-2</w:t>
            </w:r>
          </w:p>
        </w:tc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TFT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8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1,44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0,81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0,77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0,37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0,41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24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1,24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0,97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0,74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0,42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0,42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48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1,17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1,27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0,84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0,55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0,55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72 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1,31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1,48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0,98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0,68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0,65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10" w:before="220"/>
      </w:pPr>
      <w:r>
        <w:rPr>
          <w:color w:val="222222"/>
        </w:rPr>
        <w:t xml:space="preserve">Folie 8 — Ist der Unterschied echt? (Signifikanz)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rPr>
          <w:b/>
          <w:bCs/>
        </w:rPr>
        <w:t xml:space="preserve">TFT vs. Chronos-2 statistisch gleichauf</w:t>
      </w:r>
      <w:r>
        <w:t xml:space="preserve"> (kein belastbarer Unterschied); beide schlagen Prophet signifikant.</w:t>
      </w:r>
    </w:p>
    <w:p>
      <w:pPr>
        <w:spacing w:after="90"/>
      </w:pPr>
      <w:r>
        <w:rPr>
          <w:color w:val="555555"/>
        </w:rPr>
        <w:t xml:space="preserve">Grafik grafiken/signifikanz_tft_vs_chronos.png + Wilcoxon aus Abschnitt 10. Botschaft: „TFT ist NICHT ‚das beste' Modell — Chronos zieht ohne jedes Training gleich."</w:t>
      </w:r>
    </w:p>
    <w:p>
      <w:pPr>
        <w:pStyle w:val="Heading2"/>
        <w:spacing w:after="110" w:before="220"/>
      </w:pPr>
      <w:r>
        <w:rPr>
          <w:color w:val="222222"/>
        </w:rPr>
        <w:t xml:space="preserve">Folie 9 — Interpretierbarkeit als Prophet-Stärke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Prophet ist schwächer in der Genauigkeit, aber erklärt seine Vorhersage.</w:t>
      </w:r>
    </w:p>
    <w:p>
      <w:pPr>
        <w:spacing w:after="90"/>
      </w:pPr>
      <w:r>
        <w:rPr>
          <w:color w:val="555555"/>
        </w:rPr>
        <w:t xml:space="preserve">Grafik grafiken/prophet_komponenten_Dongsi.png — Heizperiode (Jahresgang), Abend-Peak (Tagesgang), Feiertags-Ausschläge. Trade-off: Interpretierbarkeit ↔ Genauigkeit.</w:t>
      </w:r>
    </w:p>
    <w:p>
      <w:pPr>
        <w:pStyle w:val="Heading2"/>
        <w:spacing w:after="110" w:before="220"/>
      </w:pPr>
      <w:r>
        <w:rPr>
          <w:color w:val="222222"/>
        </w:rPr>
        <w:t xml:space="preserve">Folie 10 — Der ehrliche Befund: das Frühlingsfest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rPr>
          <w:b/>
          <w:bCs/>
        </w:rPr>
        <w:t xml:space="preserve">Kein Modell beherrscht den Neujahrs-Peak.</w:t>
      </w:r>
    </w:p>
    <w:p>
      <w:pPr>
        <w:spacing w:after="90"/>
      </w:pPr>
      <w:r>
        <w:rPr>
          <w:color w:val="555555"/>
        </w:rPr>
        <w:t xml:space="preserve">Feuerwerk/Verhalten treiben das Extrem — dieser Treiber steckt in keiner Kovariate; ein seltenes, bewegliches, kurzes Ereignis bildet keines der Modelle nach. Beispiel-Fold über den Jahreswechsel im Kurven-Viewer zeigen.</w:t>
      </w:r>
    </w:p>
    <w:p>
      <w:pPr>
        <w:pStyle w:val="Heading2"/>
        <w:spacing w:after="110" w:before="220"/>
      </w:pPr>
      <w:r>
        <w:rPr>
          <w:color w:val="222222"/>
        </w:rPr>
        <w:t xml:space="preserve">Folie 11 — Zwei Vertiefungen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(a) Optimismus-Band: Prophet (PP) vs. (Pers.) = „Preis, das Wetter nicht zu kennen" (72 h: 0,98 → 1,48). (b) Stationstyp-Effekt: Prophet holt an Vorstadt-/Hintergrund-Stationen auf (MASE 0,73) vs. Urban (0,89), bleibt aber hinter Chronos/TFT.</w:t>
      </w:r>
    </w:p>
    <w:p>
      <w:pPr>
        <w:pStyle w:val="Heading1"/>
        <w:spacing w:after="110" w:before="220"/>
      </w:pPr>
      <w:r>
        <w:rPr>
          <w:color w:val="222222"/>
        </w:rPr>
        <w:t xml:space="preserve">Teil 4 — Einordnung, Demo, Fazit (3 Folien)</w:t>
      </w:r>
    </w:p>
    <w:p>
      <w:pPr>
        <w:pStyle w:val="Heading2"/>
        <w:spacing w:after="110" w:before="220"/>
      </w:pPr>
      <w:r>
        <w:rPr>
          <w:color w:val="222222"/>
        </w:rPr>
        <w:t xml:space="preserve">Folie 12 — „Welches Modell wann?" (Empfehlung)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Chronos-2</w:t>
      </w:r>
      <w:r>
        <w:t xml:space="preserve"> — beste Genauigkeit ohne Training; ideal, wenn schnell einsatzbereit.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TFT</w:t>
      </w:r>
      <w:r>
        <w:t xml:space="preserve"> — gleich gut, aber einmal trainieren, dann billig &amp; skalierbar über viele Stationen.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Prophet</w:t>
      </w:r>
      <w:r>
        <w:t xml:space="preserve"> — wenn Interpretierbarkeit / Erklärbarkeit zählt.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Seasonal Naive</w:t>
      </w:r>
      <w:r>
        <w:t xml:space="preserve"> — Sanity-Floor, den jedes Modell schlagen muss.</w:t>
      </w:r>
    </w:p>
    <w:p>
      <w:pPr>
        <w:pStyle w:val="Heading2"/>
        <w:spacing w:after="110" w:before="220"/>
      </w:pPr>
      <w:r>
        <w:rPr>
          <w:color w:val="222222"/>
        </w:rPr>
        <w:t xml:space="preserve">Folie 13 — Live-Demo: interaktives Dashboard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Alle Ergebnisse interaktiv (dashboard/PM25_Dashboard.html).</w:t>
      </w:r>
    </w:p>
    <w:p>
      <w:pPr>
        <w:spacing w:after="90"/>
      </w:pPr>
      <w:r>
        <w:rPr>
          <w:color w:val="555555"/>
        </w:rPr>
        <w:t xml:space="preserve">Klick-Pfad: (1) Fehlervergleich mit Metrik-Umschaltung, (2) Station mit klarem TFT/Chronos-Vorsprung im Kurven-Viewer, (3) Beispiel-Fold über Neujahr (alle scheitern), (4) Prophet PP vs. Pers. für das Optimismus-Band.</w:t>
      </w:r>
    </w:p>
    <w:p>
      <w:pPr>
        <w:pStyle w:val="Heading2"/>
        <w:spacing w:after="110" w:before="220"/>
      </w:pPr>
      <w:r>
        <w:rPr>
          <w:color w:val="222222"/>
        </w:rPr>
        <w:t xml:space="preserve">Folie 14 — Fazit &amp; Limitierungen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Moderne Modelle schlagen die Baseline klar; Chronos (Foundation) und TFT (Deep Learning) gleichauf; Prophet bleibt interpretierbar, aber genauer nur im Mittelfeld.</w:t>
      </w:r>
    </w:p>
    <w:p>
      <w:pPr>
        <w:spacing w:after="90"/>
      </w:pPr>
      <w:r>
        <w:rPr>
          <w:color w:val="555555"/>
        </w:rPr>
        <w:t xml:space="preserve">Limitierungen: Perfect-Prognosis-Obergrenze, out-of-time-Test, Extremereignisse (Neujahr) ungelöst.</w:t>
      </w:r>
    </w:p>
    <w:p>
      <w:pPr>
        <w:pStyle w:val="Heading1"/>
        <w:spacing w:after="110" w:before="220"/>
      </w:pPr>
      <w:r>
        <w:rPr>
          <w:color w:val="222222"/>
        </w:rPr>
        <w:t xml:space="preserve">Optionaler Ausblick — zusätzliche Kovariaten (Wind, Geo, Co-Schadstoffe)</w:t>
      </w:r>
    </w:p>
    <w:p>
      <w:pPr>
        <w:spacing w:after="70"/>
      </w:pPr>
      <w:r>
        <w:rPr>
          <w:b/>
          <w:bCs/>
          <w:color w:val="1C7293"/>
        </w:rPr>
        <w:t xml:space="preserve">Kernaussage: </w:t>
      </w:r>
      <w:r>
        <w:t xml:space="preserve">Deine Ablation zeigt: Wind hilft, reine Geo-Koordinaten nicht.</w:t>
      </w:r>
    </w:p>
    <w:tbl>
      <w:tblPr>
        <w:tblW w:type="dxa" w:w="6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400"/>
        <w:gridCol w:w="1500"/>
        <w:gridCol w:w="1500"/>
      </w:tblGrid>
      <w:tr>
        <w:trPr>
          <w:tblHeader/>
        </w:trPr>
        <w:tc>
          <w:tcPr>
            <w:tcW w:type="dxa" w:w="34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Variante (TFT)</w:t>
            </w:r>
          </w:p>
        </w:tc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500"/>
            <w:shd w:fill="1C729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Basis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19,40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37,75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+ Windgeschwindigkeit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18,53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34,24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+ Windrichtung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18,48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35,73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+ beide Wind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18,55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32,93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+ beide Wind + Geo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18,92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33,88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90"/>
      </w:pPr>
      <w:r>
        <w:rPr>
          <w:b/>
          <w:bCs/>
        </w:rPr>
        <w:t xml:space="preserve">Aussage fürs Deck: </w:t>
      </w:r>
      <w:r>
        <w:t xml:space="preserve">„Wind als physikalisch sinnvolle Kovariate verbessert TFT leicht; zusätzliche Geo-Koordinaten bringen keinen Nutzen (eher minimal schlechter)." Das ist die stärkere Story als „alles hilft" — Kovariaten müssen begründet ausgewählt werden.</w:t>
      </w:r>
    </w:p>
    <w:p>
      <w:pPr>
        <w:spacing w:after="90"/>
      </w:pPr>
      <w:r>
        <w:rPr>
          <w:b/>
          <w:bCs/>
          <w:color w:val="C4471C"/>
        </w:rPr>
        <w:t xml:space="preserve">Vorsicht: </w:t>
      </w:r>
      <w:r>
        <w:t xml:space="preserve">Effekte klein, nur 2 Seeds (Basis 19,40 ± 1,30 streut fast so stark wie die Verbesserung) — als „leichte Verbesserung durch Wind" formulieren, nicht als Beweis. Zudem anderes Auswertungssetup als der Hauptvergleich (Folie 7); als separates Experiment kennzeichnen.</w:t>
      </w:r>
    </w:p>
    <w:p>
      <w:pPr>
        <w:pStyle w:val="Heading1"/>
        <w:spacing w:after="110" w:before="220"/>
      </w:pPr>
      <w:r>
        <w:rPr>
          <w:color w:val="222222"/>
        </w:rPr>
        <w:t xml:space="preserve">Muss noch etwas laufen?</w:t>
      </w:r>
    </w:p>
    <w:p>
      <w:pPr>
        <w:spacing w:after="90"/>
      </w:pPr>
      <w:r>
        <w:rPr>
          <w:b/>
          <w:bCs/>
        </w:rPr>
        <w:t xml:space="preserve">Für die Kern-Story: nein. </w:t>
      </w:r>
      <w:r>
        <w:t xml:space="preserve">Hauptvergleich (alle 12 Stationen), Signifikanz (Abschnitt 10), Prophet-Komponenten (Abschnitt 11) und Dashboard sind fertig und gespeichert.</w:t>
      </w:r>
    </w:p>
    <w:p>
      <w:pPr>
        <w:spacing w:after="90"/>
      </w:pPr>
      <w:r>
        <w:rPr>
          <w:b/>
          <w:bCs/>
        </w:rPr>
        <w:t xml:space="preserve">Optional: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Wind/Geo-TFT auf identischer Rolling-Methodik (nur nötig, wenn die Ausblicks-Zahl direkt vergleichbar sein soll).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Feinschliff der Folien-Grafiken (Beschriftung/Helligkeit fürs Beamer-Format).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2026-07-20T17:54:38.957Z</dcterms:created>
  <dcterms:modified xsi:type="dcterms:W3CDTF">2026-07-20T17:54:38.957Z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