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B9AD" w14:textId="77777777" w:rsidR="008333E6" w:rsidRDefault="008333E6">
      <w:pPr>
        <w:spacing w:line="480" w:lineRule="auto"/>
      </w:pPr>
    </w:p>
    <w:p w14:paraId="0417E955" w14:textId="77777777" w:rsidR="008333E6" w:rsidRDefault="008333E6">
      <w:pPr>
        <w:spacing w:line="480" w:lineRule="auto"/>
      </w:pPr>
    </w:p>
    <w:p w14:paraId="245F204C" w14:textId="77777777" w:rsidR="008333E6" w:rsidRDefault="008333E6">
      <w:pPr>
        <w:spacing w:line="480" w:lineRule="auto"/>
      </w:pPr>
    </w:p>
    <w:p w14:paraId="7066C2D9" w14:textId="2A0E0264" w:rsidR="008333E6" w:rsidRPr="00470B8B" w:rsidRDefault="00000000">
      <w:pPr>
        <w:spacing w:after="480" w:line="480" w:lineRule="auto"/>
        <w:jc w:val="center"/>
        <w:rPr>
          <w:lang w:val="es-CO"/>
        </w:rPr>
      </w:pPr>
      <w:r w:rsidRPr="00470B8B">
        <w:rPr>
          <w:rFonts w:eastAsia="Times New Roman" w:cs="Times New Roman"/>
          <w:b/>
          <w:sz w:val="32"/>
          <w:lang w:val="es-CO"/>
        </w:rPr>
        <w:t xml:space="preserve">Paleta de colores accesible para el </w:t>
      </w:r>
      <w:r w:rsidR="00470B8B">
        <w:rPr>
          <w:rFonts w:eastAsia="Times New Roman" w:cs="Times New Roman"/>
          <w:b/>
          <w:sz w:val="32"/>
          <w:lang w:val="es-CO"/>
        </w:rPr>
        <w:t xml:space="preserve">cuento </w:t>
      </w:r>
      <w:r w:rsidRPr="00470B8B">
        <w:rPr>
          <w:rFonts w:eastAsia="Times New Roman" w:cs="Times New Roman"/>
          <w:b/>
          <w:sz w:val="32"/>
          <w:lang w:val="es-CO"/>
        </w:rPr>
        <w:t>*Sarita, dibujadora de sueños*</w:t>
      </w:r>
    </w:p>
    <w:p w14:paraId="314DE45C" w14:textId="77777777" w:rsidR="008333E6" w:rsidRPr="00470B8B" w:rsidRDefault="00000000">
      <w:pPr>
        <w:spacing w:after="0" w:line="480" w:lineRule="auto"/>
        <w:jc w:val="center"/>
        <w:rPr>
          <w:lang w:val="es-CO"/>
        </w:rPr>
      </w:pPr>
      <w:r w:rsidRPr="00470B8B">
        <w:rPr>
          <w:rFonts w:eastAsia="Times New Roman" w:cs="Times New Roman"/>
          <w:lang w:val="es-CO"/>
        </w:rPr>
        <w:t>Jesus Daniel Pencue Tejada</w:t>
      </w:r>
    </w:p>
    <w:p w14:paraId="143E7C0F" w14:textId="77777777" w:rsidR="008333E6" w:rsidRPr="00470B8B" w:rsidRDefault="00000000">
      <w:pPr>
        <w:spacing w:after="0" w:line="480" w:lineRule="auto"/>
        <w:jc w:val="center"/>
        <w:rPr>
          <w:lang w:val="es-CO"/>
        </w:rPr>
      </w:pPr>
      <w:r w:rsidRPr="00470B8B">
        <w:rPr>
          <w:rFonts w:eastAsia="Times New Roman" w:cs="Times New Roman"/>
          <w:lang w:val="es-CO"/>
        </w:rPr>
        <w:t>Semillero AASI — Servicio Nacional de Aprendizaje (SENA), Centro de Industria y Construcción, Neiva — Huila, Colombia</w:t>
      </w:r>
    </w:p>
    <w:p w14:paraId="3C2A0EBC" w14:textId="77777777" w:rsidR="008333E6" w:rsidRPr="00470B8B" w:rsidRDefault="00000000">
      <w:pPr>
        <w:spacing w:after="0" w:line="480" w:lineRule="auto"/>
        <w:jc w:val="center"/>
        <w:rPr>
          <w:lang w:val="es-CO"/>
        </w:rPr>
      </w:pPr>
      <w:r w:rsidRPr="00470B8B">
        <w:rPr>
          <w:rFonts w:eastAsia="Times New Roman" w:cs="Times New Roman"/>
          <w:b/>
          <w:lang w:val="es-CO"/>
        </w:rPr>
        <w:t>Instructores:</w:t>
      </w:r>
      <w:r w:rsidRPr="00470B8B">
        <w:rPr>
          <w:rFonts w:eastAsia="Times New Roman" w:cs="Times New Roman"/>
          <w:lang w:val="es-CO"/>
        </w:rPr>
        <w:t xml:space="preserve"> Erika Johanna Brand Cabrera y Alberto Enrique Oviedo Buelvas</w:t>
      </w:r>
    </w:p>
    <w:p w14:paraId="3484207C" w14:textId="77777777" w:rsidR="008333E6" w:rsidRPr="00470B8B" w:rsidRDefault="00000000">
      <w:pPr>
        <w:spacing w:after="0" w:line="480" w:lineRule="auto"/>
        <w:jc w:val="center"/>
        <w:rPr>
          <w:lang w:val="es-CO"/>
        </w:rPr>
      </w:pPr>
      <w:r w:rsidRPr="00470B8B">
        <w:rPr>
          <w:rFonts w:eastAsia="Times New Roman" w:cs="Times New Roman"/>
          <w:b/>
          <w:lang w:val="es-CO"/>
        </w:rPr>
        <w:t>Fecha de entrega:</w:t>
      </w:r>
      <w:r w:rsidRPr="00470B8B">
        <w:rPr>
          <w:rFonts w:eastAsia="Times New Roman" w:cs="Times New Roman"/>
          <w:lang w:val="es-CO"/>
        </w:rPr>
        <w:t xml:space="preserve"> [DD/MM/AAAA]</w:t>
      </w:r>
    </w:p>
    <w:p w14:paraId="4BDEF4E3" w14:textId="77777777" w:rsidR="008333E6" w:rsidRPr="00470B8B" w:rsidRDefault="00000000">
      <w:pPr>
        <w:spacing w:line="240" w:lineRule="auto"/>
        <w:rPr>
          <w:lang w:val="es-CO"/>
        </w:rPr>
      </w:pPr>
      <w:r w:rsidRPr="00470B8B">
        <w:rPr>
          <w:rFonts w:eastAsia="Times New Roman" w:cs="Times New Roman"/>
          <w:lang w:val="es-CO"/>
        </w:rPr>
        <w:br w:type="page"/>
      </w:r>
    </w:p>
    <w:p w14:paraId="6193A3C7" w14:textId="77777777" w:rsidR="008333E6" w:rsidRPr="00470B8B" w:rsidRDefault="008333E6">
      <w:pPr>
        <w:rPr>
          <w:lang w:val="es-CO"/>
        </w:rPr>
        <w:sectPr w:rsidR="008333E6" w:rsidRPr="00470B8B">
          <w:headerReference w:type="default" r:id="rId8"/>
          <w:pgSz w:w="12240" w:h="15840"/>
          <w:pgMar w:top="1440" w:right="1440" w:bottom="1440" w:left="1440" w:header="720" w:footer="720" w:gutter="0"/>
          <w:cols w:space="720"/>
          <w:titlePg/>
          <w:docGrid w:linePitch="360"/>
        </w:sectPr>
      </w:pPr>
    </w:p>
    <w:p w14:paraId="77FEE826"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lastRenderedPageBreak/>
        <w:t>Resumen</w:t>
      </w:r>
    </w:p>
    <w:p w14:paraId="091CF85D"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xml:space="preserve">Este documento presenta la selección de la paleta de colores utilizada en el libro álbum infantil </w:t>
      </w:r>
      <w:r w:rsidRPr="00470B8B">
        <w:rPr>
          <w:rFonts w:eastAsia="Times New Roman" w:cs="Times New Roman"/>
          <w:i/>
          <w:lang w:val="es-CO"/>
        </w:rPr>
        <w:t>Sarita, dibujadora de sueños</w:t>
      </w:r>
      <w:r w:rsidRPr="00470B8B">
        <w:rPr>
          <w:rFonts w:eastAsia="Times New Roman" w:cs="Times New Roman"/>
          <w:lang w:val="es-CO"/>
        </w:rPr>
        <w:t>, una publicación inclusiva del Semillero de Investigación Aplicaciones Accesibles (AASI) del SENA Neiva que se imprimirá en 500 unidades para distribución y venta a nivel nacional. El objetivo fue elegir una paleta de colores que garantizara la legibilidad del texto y la diferenciación de los elementos gráficos para lectores con daltonismo, baja visión, cataratas y glaucoma, dentro de las restricciones de un proyecto institucional. Se consultaron las recomendaciones de las Pautas de Accesibilidad al Contenido Web (WCAG) 2.2 del W3C, los criterios de la British Dyslexia Association y del Royal National Institute of Blind People, y se verificó la paleta con las herramientas Adobe Color (comprobador de contraste y simulador de daltonismo). Como resultado, se definieron tres grupos de color: un par base de alto contraste para texto y fondo, cinco colores fuertes para ilustraciones, y cinco colores suaves para fondos y decoraciones. Todas las combinaciones se verificaron con la herramienta Adobe Color y se comprobó su comportamiento bajo simulación de deuteranopia, protanopia y tritanopia. La paleta cumple con el nivel AAA de WCAG 2.2 para las combinaciones principales y utiliza contornos y formas como segundo canal de diferenciación para los casos en que el color por sí solo no alcanza.</w:t>
      </w:r>
    </w:p>
    <w:p w14:paraId="3770B352" w14:textId="77777777" w:rsidR="008333E6" w:rsidRPr="00470B8B" w:rsidRDefault="00000000">
      <w:pPr>
        <w:spacing w:after="0" w:line="480" w:lineRule="auto"/>
        <w:ind w:firstLine="720"/>
        <w:jc w:val="both"/>
        <w:rPr>
          <w:lang w:val="es-CO"/>
        </w:rPr>
      </w:pPr>
      <w:r w:rsidRPr="00470B8B">
        <w:rPr>
          <w:rFonts w:eastAsia="Times New Roman" w:cs="Times New Roman"/>
          <w:b/>
          <w:lang w:val="es-CO"/>
        </w:rPr>
        <w:t>Palabras clave:</w:t>
      </w:r>
      <w:r w:rsidRPr="00470B8B">
        <w:rPr>
          <w:rFonts w:eastAsia="Times New Roman" w:cs="Times New Roman"/>
          <w:lang w:val="es-CO"/>
        </w:rPr>
        <w:t xml:space="preserve"> accesibilidad, daltonismo, WCAG 2.2, contraste de color, paleta accesible, libro álbum inclusivo, Adobe Color.</w:t>
      </w:r>
    </w:p>
    <w:p w14:paraId="799C18B8" w14:textId="77777777" w:rsidR="008333E6" w:rsidRPr="00470B8B" w:rsidRDefault="008333E6">
      <w:pPr>
        <w:pBdr>
          <w:bottom w:val="single" w:sz="6" w:space="1" w:color="auto"/>
        </w:pBdr>
        <w:spacing w:line="240" w:lineRule="auto"/>
        <w:rPr>
          <w:lang w:val="es-CO"/>
        </w:rPr>
      </w:pPr>
    </w:p>
    <w:p w14:paraId="746D3311"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Introducción</w:t>
      </w:r>
    </w:p>
    <w:p w14:paraId="1C4D067E"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xml:space="preserve">El libro álbum </w:t>
      </w:r>
      <w:r w:rsidRPr="00470B8B">
        <w:rPr>
          <w:rFonts w:eastAsia="Times New Roman" w:cs="Times New Roman"/>
          <w:i/>
          <w:lang w:val="es-CO"/>
        </w:rPr>
        <w:t>Sarita, dibujadora de sueños</w:t>
      </w:r>
      <w:r w:rsidRPr="00470B8B">
        <w:rPr>
          <w:rFonts w:eastAsia="Times New Roman" w:cs="Times New Roman"/>
          <w:lang w:val="es-CO"/>
        </w:rPr>
        <w:t xml:space="preserve"> es una obra infantil ilustrada dirigida a una audiencia amplia: niños y niñas en edad de lectura inicial, sus familias, docentes y, de manera </w:t>
      </w:r>
      <w:r w:rsidRPr="00470B8B">
        <w:rPr>
          <w:rFonts w:eastAsia="Times New Roman" w:cs="Times New Roman"/>
          <w:lang w:val="es-CO"/>
        </w:rPr>
        <w:lastRenderedPageBreak/>
        <w:t>especial, lectores con condiciones visuales y cognitivas diversas. La publicación se complementa con Braille en relieve y un código QR al audiolibro, por lo que el material impreso es uno de los canales de acceso principales. En ese contexto, la elección de la paleta de colores no es decorativa: es una decisión de inclusión que determina si una persona con daltonismo, baja visión, cataratas o glaucoma puede distinguir los elementos del cuento, identificar personajes y leer el texto con comodidad.</w:t>
      </w:r>
    </w:p>
    <w:p w14:paraId="51FED83A" w14:textId="77777777" w:rsidR="008333E6" w:rsidRPr="00470B8B" w:rsidRDefault="00000000">
      <w:pPr>
        <w:spacing w:after="0" w:line="480" w:lineRule="auto"/>
        <w:ind w:firstLine="720"/>
        <w:jc w:val="both"/>
        <w:rPr>
          <w:lang w:val="es-CO"/>
        </w:rPr>
      </w:pPr>
      <w:r w:rsidRPr="00470B8B">
        <w:rPr>
          <w:rFonts w:eastAsia="Times New Roman" w:cs="Times New Roman"/>
          <w:lang w:val="es-CO"/>
        </w:rPr>
        <w:t>Cuando un material se dirige a una audiencia que incluye personas con condiciones visuales diversas, la paleta debe cumplir tres condiciones simultáneas: (1) ofrecer contraste suficiente para la lectura del texto, (2) mantener la diferenciación de los elementos gráficos cuando se ve afectada la percepción del color, y (3) evitar el deslumbramiento en personas con sensibilidad a la luz. Las Pautas de Accesibilidad al Contenido Web (WCAG) 2.2, publicadas por el World Wide Web Consortium, estandarizan internacionalmente el contraste medible entre color de texto y color de fondo (W3C/WAI, 2023). La British Dyslexia Association y el Royal National Institute of Blind People complementan estas pautas con recomendaciones sobre el uso de papel crema en lugar de blanco nuclear (British Dyslexia Association, 2014; RNIB, 2023).</w:t>
      </w:r>
    </w:p>
    <w:p w14:paraId="38BA1BB6" w14:textId="77777777" w:rsidR="008333E6" w:rsidRPr="00470B8B" w:rsidRDefault="00000000">
      <w:pPr>
        <w:spacing w:after="0" w:line="480" w:lineRule="auto"/>
        <w:ind w:firstLine="720"/>
        <w:jc w:val="both"/>
        <w:rPr>
          <w:lang w:val="es-CO"/>
        </w:rPr>
      </w:pPr>
      <w:r w:rsidRPr="00470B8B">
        <w:rPr>
          <w:rFonts w:eastAsia="Times New Roman" w:cs="Times New Roman"/>
          <w:lang w:val="es-CO"/>
        </w:rPr>
        <w:t>Este documento registra la decisión cromática del Semillero AASI para que pueda ser revisada por instructores, par académico y por la imprenta que materializará el libro. La paleta fue verificada con la herramienta Adobe Color, en sus dos módulos: el comprobador de contraste y el simulador de daltonismo. La verificación con simulador es importante porque ningún contraste alto garantiza por sí solo la diferenciación entre colores cuando el sistema visual de la persona altera la percepción cromática (Okabe e Ito, 2008).</w:t>
      </w:r>
    </w:p>
    <w:p w14:paraId="56C5EB82"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Planteamiento del problema</w:t>
      </w:r>
    </w:p>
    <w:p w14:paraId="01E8C4A1" w14:textId="77777777" w:rsidR="008333E6" w:rsidRPr="00470B8B" w:rsidRDefault="00000000">
      <w:pPr>
        <w:spacing w:after="0" w:line="480" w:lineRule="auto"/>
        <w:ind w:firstLine="720"/>
        <w:jc w:val="both"/>
        <w:rPr>
          <w:lang w:val="es-CO"/>
        </w:rPr>
      </w:pPr>
      <w:r w:rsidRPr="00470B8B">
        <w:rPr>
          <w:rFonts w:eastAsia="Times New Roman" w:cs="Times New Roman"/>
          <w:lang w:val="es-CO"/>
        </w:rPr>
        <w:lastRenderedPageBreak/>
        <w:t xml:space="preserve">El Semillero debía responder una pregunta concreta: </w:t>
      </w:r>
      <w:r w:rsidRPr="00470B8B">
        <w:rPr>
          <w:rFonts w:eastAsia="Times New Roman" w:cs="Times New Roman"/>
          <w:i/>
          <w:lang w:val="es-CO"/>
        </w:rPr>
        <w:t>¿qué paleta de colores permite que el libro álbum sea legible y diferenciable para lectores con daltonismo, baja visión, cataratas y glaucoma, dentro de las restricciones presupuestales y de impresión de un proyecto institucional?</w:t>
      </w:r>
    </w:p>
    <w:p w14:paraId="59CC0544" w14:textId="77777777" w:rsidR="008333E6" w:rsidRPr="00470B8B" w:rsidRDefault="00000000">
      <w:pPr>
        <w:spacing w:after="0" w:line="480" w:lineRule="auto"/>
        <w:ind w:firstLine="720"/>
        <w:jc w:val="both"/>
        <w:rPr>
          <w:lang w:val="es-CO"/>
        </w:rPr>
      </w:pPr>
      <w:r w:rsidRPr="00470B8B">
        <w:rPr>
          <w:rFonts w:eastAsia="Times New Roman" w:cs="Times New Roman"/>
          <w:lang w:val="es-CO"/>
        </w:rPr>
        <w:t>La decisión afectaba a múltiples condiciones a la vez, lo que obligó a separar el problema en dos partes: (1) elegir el par de alto contraste para texto y fondo, y (2) elegir los colores de ilustración que mantuvieran la diferenciación entre personajes y elementos decorativos aun cuando la percepción del color estuviera alterada.</w:t>
      </w:r>
    </w:p>
    <w:p w14:paraId="02F2E510"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Marco teórico</w:t>
      </w:r>
    </w:p>
    <w:p w14:paraId="3B4A5BBF"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Contraste de color y WCAG 2.2</w:t>
      </w:r>
    </w:p>
    <w:p w14:paraId="2EAE8C6D" w14:textId="77777777" w:rsidR="008333E6" w:rsidRPr="00470B8B" w:rsidRDefault="00000000">
      <w:pPr>
        <w:spacing w:after="0" w:line="480" w:lineRule="auto"/>
        <w:ind w:firstLine="720"/>
        <w:jc w:val="both"/>
        <w:rPr>
          <w:lang w:val="es-CO"/>
        </w:rPr>
      </w:pPr>
      <w:r w:rsidRPr="00470B8B">
        <w:rPr>
          <w:rFonts w:eastAsia="Times New Roman" w:cs="Times New Roman"/>
          <w:lang w:val="es-CO"/>
        </w:rPr>
        <w:t>El contraste de color es la diferencia de luminancia entre dos colores, expresada como una relación numérica. Las WCAG 2.2 establecen tres niveles: AA (mínimo 4.5:1 para texto normal y 3:1 para texto grande), AAA (mínimo 7:1 para texto normal y 4.5:1 para texto grande) y un nivel para interfaz gráfica (3:1 para componentes no textuales). El nivel AAA es el más exigente y es el que se recomienda para material dirigido a personas con baja visión (W3C/WAI, 2023).</w:t>
      </w:r>
    </w:p>
    <w:p w14:paraId="794DFA80" w14:textId="77777777" w:rsidR="008333E6" w:rsidRPr="00470B8B" w:rsidRDefault="00000000">
      <w:pPr>
        <w:spacing w:after="0" w:line="480" w:lineRule="auto"/>
        <w:ind w:firstLine="720"/>
        <w:jc w:val="both"/>
        <w:rPr>
          <w:lang w:val="es-CO"/>
        </w:rPr>
      </w:pPr>
      <w:r w:rsidRPr="00470B8B">
        <w:rPr>
          <w:rFonts w:eastAsia="Times New Roman" w:cs="Times New Roman"/>
          <w:lang w:val="es-CO"/>
        </w:rPr>
        <w:t>El contraste por sí solo no resuelve la accesibilidad cromática. Una persona con protanopia (ceguera al rojo) puede percibir un texto rojo y un texto verde como tonos similares, aunque ambos contrasten bien con el fondo. Por eso las WCAG recomiendan que el color no sea el único canal para transmitir información, y que se acompañe de otro indicador como la forma, el contorno o el patrón (W3C/WAI, 2023).</w:t>
      </w:r>
    </w:p>
    <w:p w14:paraId="3F8FF696"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Daltonismo y paleta segura</w:t>
      </w:r>
    </w:p>
    <w:p w14:paraId="10F3BC86" w14:textId="77777777" w:rsidR="008333E6" w:rsidRPr="00470B8B" w:rsidRDefault="00000000">
      <w:pPr>
        <w:spacing w:after="0" w:line="480" w:lineRule="auto"/>
        <w:ind w:firstLine="720"/>
        <w:jc w:val="both"/>
        <w:rPr>
          <w:lang w:val="es-CO"/>
        </w:rPr>
      </w:pPr>
      <w:r w:rsidRPr="00470B8B">
        <w:rPr>
          <w:rFonts w:eastAsia="Times New Roman" w:cs="Times New Roman"/>
          <w:lang w:val="es-CO"/>
        </w:rPr>
        <w:lastRenderedPageBreak/>
        <w:t>El daltonismo es la dificultad para distinguir ciertos colores. Los tres tipos principales son: protanopia (no se percibe bien el rojo), deuteranopia (no se percibe bien el verde) y tritanopia (no se percibe bien el azul). La paleta de Okabe e Ito (2008) es la referencia más citada para diseño cromático seguro para los tres tipos, porque utiliza colores que mantienen su diferenciación bajo simulación de daltonismo.</w:t>
      </w:r>
    </w:p>
    <w:p w14:paraId="719426F6"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Cataratas y deslumbramiento</w:t>
      </w:r>
    </w:p>
    <w:p w14:paraId="5BA793BE" w14:textId="77777777" w:rsidR="008333E6" w:rsidRPr="00470B8B" w:rsidRDefault="00000000">
      <w:pPr>
        <w:spacing w:after="0" w:line="480" w:lineRule="auto"/>
        <w:ind w:firstLine="720"/>
        <w:jc w:val="both"/>
        <w:rPr>
          <w:lang w:val="es-CO"/>
        </w:rPr>
      </w:pPr>
      <w:r w:rsidRPr="00470B8B">
        <w:rPr>
          <w:rFonts w:eastAsia="Times New Roman" w:cs="Times New Roman"/>
          <w:lang w:val="es-CO"/>
        </w:rPr>
        <w:t>Las cataratas producen visión "lavada" y sensibilidad al brillo del papel blanco nuclear. La solución técnica es evitar el fondo blanco puro y reemplazarlo por tonos crema o marfil, que mantienen el contraste con el texto sin generar el deslumbramiento característico (RNIB, 2023). La British Dyslexia Association coincide en esta recomendación (British Dyslexia Association, 2014).</w:t>
      </w:r>
    </w:p>
    <w:p w14:paraId="46DBBAE9"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Glaucoma y diferenciación de elementos</w:t>
      </w:r>
    </w:p>
    <w:p w14:paraId="769E6325" w14:textId="77777777" w:rsidR="008333E6" w:rsidRPr="00470B8B" w:rsidRDefault="00000000">
      <w:pPr>
        <w:spacing w:after="0" w:line="480" w:lineRule="auto"/>
        <w:ind w:firstLine="720"/>
        <w:jc w:val="both"/>
        <w:rPr>
          <w:lang w:val="es-CO"/>
        </w:rPr>
      </w:pPr>
      <w:r w:rsidRPr="00470B8B">
        <w:rPr>
          <w:rFonts w:eastAsia="Times New Roman" w:cs="Times New Roman"/>
          <w:lang w:val="es-CO"/>
        </w:rPr>
        <w:t>En el glaucoma se pierde visión periférica y, en casos avanzados, también la central. La persona no necesariamente ve borroso, pero pierde la capacidad de ubicar elementos con la vista periférica. Una paleta con colores fácilmente diferenciables en zona central y con alto contraste contra el fondo facilita la localización de los elementos gráficos del cuento (RNIB, 2023).</w:t>
      </w:r>
    </w:p>
    <w:p w14:paraId="354E6EDD"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Metodología</w:t>
      </w:r>
    </w:p>
    <w:p w14:paraId="1CFFE7D5" w14:textId="77777777" w:rsidR="008333E6" w:rsidRPr="00470B8B" w:rsidRDefault="00000000">
      <w:pPr>
        <w:spacing w:after="0" w:line="480" w:lineRule="auto"/>
        <w:ind w:firstLine="720"/>
        <w:jc w:val="both"/>
        <w:rPr>
          <w:lang w:val="es-CO"/>
        </w:rPr>
      </w:pPr>
      <w:r w:rsidRPr="00470B8B">
        <w:rPr>
          <w:rFonts w:eastAsia="Times New Roman" w:cs="Times New Roman"/>
          <w:lang w:val="es-CO"/>
        </w:rPr>
        <w:t>La selección de la paleta se realizó en cinco pasos:</w:t>
      </w:r>
    </w:p>
    <w:p w14:paraId="206D9E2A" w14:textId="77777777" w:rsidR="008333E6" w:rsidRPr="00470B8B" w:rsidRDefault="00000000">
      <w:pPr>
        <w:spacing w:line="480" w:lineRule="auto"/>
        <w:ind w:left="720" w:hanging="360"/>
        <w:rPr>
          <w:lang w:val="es-CO"/>
        </w:rPr>
      </w:pPr>
      <w:r w:rsidRPr="00470B8B">
        <w:rPr>
          <w:rFonts w:eastAsia="Times New Roman" w:cs="Times New Roman"/>
          <w:lang w:val="es-CO"/>
        </w:rPr>
        <w:t xml:space="preserve">1. </w:t>
      </w:r>
      <w:r w:rsidRPr="00470B8B">
        <w:rPr>
          <w:rFonts w:eastAsia="Times New Roman" w:cs="Times New Roman"/>
          <w:b/>
          <w:lang w:val="es-CO"/>
        </w:rPr>
        <w:t>Revisión de los estándares de contraste.</w:t>
      </w:r>
      <w:r w:rsidRPr="00470B8B">
        <w:rPr>
          <w:rFonts w:eastAsia="Times New Roman" w:cs="Times New Roman"/>
          <w:lang w:val="es-CO"/>
        </w:rPr>
        <w:t xml:space="preserve"> Se consultaron las Pautas de Accesibilidad al Contenido Web (WCAG) 2.2 del W3C, que son el estándar internacional para medir la relación de contraste entre colores.</w:t>
      </w:r>
    </w:p>
    <w:p w14:paraId="2859652F" w14:textId="77777777" w:rsidR="008333E6" w:rsidRPr="00470B8B" w:rsidRDefault="00000000">
      <w:pPr>
        <w:spacing w:line="480" w:lineRule="auto"/>
        <w:ind w:left="720" w:hanging="360"/>
        <w:rPr>
          <w:lang w:val="es-CO"/>
        </w:rPr>
      </w:pPr>
      <w:r w:rsidRPr="00470B8B">
        <w:rPr>
          <w:rFonts w:eastAsia="Times New Roman" w:cs="Times New Roman"/>
          <w:lang w:val="es-CO"/>
        </w:rPr>
        <w:lastRenderedPageBreak/>
        <w:t xml:space="preserve">2. </w:t>
      </w:r>
      <w:r w:rsidRPr="00470B8B">
        <w:rPr>
          <w:rFonts w:eastAsia="Times New Roman" w:cs="Times New Roman"/>
          <w:b/>
          <w:lang w:val="es-CO"/>
        </w:rPr>
        <w:t>Definición del par base texto-fondo.</w:t>
      </w:r>
      <w:r w:rsidRPr="00470B8B">
        <w:rPr>
          <w:rFonts w:eastAsia="Times New Roman" w:cs="Times New Roman"/>
          <w:lang w:val="es-CO"/>
        </w:rPr>
        <w:t xml:space="preserve"> Se eligió un par con contraste AAA (≥ 7:1) entre un tono oscuro y un tono crema, considerando que el libro álbum se imprimirá sobre papel crema y no blanco.</w:t>
      </w:r>
    </w:p>
    <w:p w14:paraId="088B9132" w14:textId="77777777" w:rsidR="008333E6" w:rsidRPr="00470B8B" w:rsidRDefault="00000000">
      <w:pPr>
        <w:spacing w:line="480" w:lineRule="auto"/>
        <w:ind w:left="720" w:hanging="360"/>
        <w:rPr>
          <w:lang w:val="es-CO"/>
        </w:rPr>
      </w:pPr>
      <w:r w:rsidRPr="00470B8B">
        <w:rPr>
          <w:rFonts w:eastAsia="Times New Roman" w:cs="Times New Roman"/>
          <w:lang w:val="es-CO"/>
        </w:rPr>
        <w:t xml:space="preserve">3. </w:t>
      </w:r>
      <w:r w:rsidRPr="00470B8B">
        <w:rPr>
          <w:rFonts w:eastAsia="Times New Roman" w:cs="Times New Roman"/>
          <w:b/>
          <w:lang w:val="es-CO"/>
        </w:rPr>
        <w:t>Selección de colores fuertes para ilustraciones.</w:t>
      </w:r>
      <w:r w:rsidRPr="00470B8B">
        <w:rPr>
          <w:rFonts w:eastAsia="Times New Roman" w:cs="Times New Roman"/>
          <w:lang w:val="es-CO"/>
        </w:rPr>
        <w:t xml:space="preserve"> Se eligieron cinco colores que, bajo simulación de daltonismo con Adobe Color, mantuvieran la diferenciación entre sí en deuteranopia, protanopia y tritanopia.</w:t>
      </w:r>
    </w:p>
    <w:p w14:paraId="6D4DEBD3" w14:textId="77777777" w:rsidR="008333E6" w:rsidRPr="00470B8B" w:rsidRDefault="00000000">
      <w:pPr>
        <w:spacing w:line="480" w:lineRule="auto"/>
        <w:ind w:left="720" w:hanging="360"/>
        <w:rPr>
          <w:lang w:val="es-CO"/>
        </w:rPr>
      </w:pPr>
      <w:r w:rsidRPr="00470B8B">
        <w:rPr>
          <w:rFonts w:eastAsia="Times New Roman" w:cs="Times New Roman"/>
          <w:lang w:val="es-CO"/>
        </w:rPr>
        <w:t xml:space="preserve">4. </w:t>
      </w:r>
      <w:r w:rsidRPr="00470B8B">
        <w:rPr>
          <w:rFonts w:eastAsia="Times New Roman" w:cs="Times New Roman"/>
          <w:b/>
          <w:lang w:val="es-CO"/>
        </w:rPr>
        <w:t>Selección de colores suaves para fondos y decoraciones.</w:t>
      </w:r>
      <w:r w:rsidRPr="00470B8B">
        <w:rPr>
          <w:rFonts w:eastAsia="Times New Roman" w:cs="Times New Roman"/>
          <w:lang w:val="es-CO"/>
        </w:rPr>
        <w:t xml:space="preserve"> Se eligieron cinco colores adicionales en tonos pastel, verificados para que no se confundieran con los colores fuertes en la simulación de daltonismo.</w:t>
      </w:r>
    </w:p>
    <w:p w14:paraId="615CF47D" w14:textId="77777777" w:rsidR="008333E6" w:rsidRPr="00470B8B" w:rsidRDefault="00000000">
      <w:pPr>
        <w:spacing w:line="480" w:lineRule="auto"/>
        <w:ind w:left="720" w:hanging="360"/>
        <w:rPr>
          <w:lang w:val="es-CO"/>
        </w:rPr>
      </w:pPr>
      <w:r w:rsidRPr="00470B8B">
        <w:rPr>
          <w:rFonts w:eastAsia="Times New Roman" w:cs="Times New Roman"/>
          <w:lang w:val="es-CO"/>
        </w:rPr>
        <w:t xml:space="preserve">5. </w:t>
      </w:r>
      <w:r w:rsidRPr="00470B8B">
        <w:rPr>
          <w:rFonts w:eastAsia="Times New Roman" w:cs="Times New Roman"/>
          <w:b/>
          <w:lang w:val="es-CO"/>
        </w:rPr>
        <w:t>Verificación de uso por nivel de contraste.</w:t>
      </w:r>
      <w:r w:rsidRPr="00470B8B">
        <w:rPr>
          <w:rFonts w:eastAsia="Times New Roman" w:cs="Times New Roman"/>
          <w:lang w:val="es-CO"/>
        </w:rPr>
        <w:t xml:space="preserve"> Se clasificaron los pares de color en cuatro niveles: AAA (texto pequeño permitido), AA (texto e ilustraciones), UI/Gráfico (solo elementos grandes) y Decoración (sin texto).</w:t>
      </w:r>
    </w:p>
    <w:p w14:paraId="461C3C8C"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Resultados</w:t>
      </w:r>
    </w:p>
    <w:p w14:paraId="444B983B"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Color de letra y color de fondo</w:t>
      </w:r>
    </w:p>
    <w:p w14:paraId="231BF351"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xml:space="preserve">El par base para el cuerpo del cuento es texto </w:t>
      </w:r>
      <w:r w:rsidRPr="00470B8B">
        <w:rPr>
          <w:rFonts w:eastAsia="Times New Roman" w:cs="Times New Roman"/>
          <w:b/>
          <w:lang w:val="es-CO"/>
        </w:rPr>
        <w:t>#0A0A0A</w:t>
      </w:r>
      <w:r w:rsidRPr="00470B8B">
        <w:rPr>
          <w:rFonts w:eastAsia="Times New Roman" w:cs="Times New Roman"/>
          <w:lang w:val="es-CO"/>
        </w:rPr>
        <w:t xml:space="preserve"> (negro profundo) sobre fondo </w:t>
      </w:r>
      <w:r w:rsidRPr="00470B8B">
        <w:rPr>
          <w:rFonts w:eastAsia="Times New Roman" w:cs="Times New Roman"/>
          <w:b/>
          <w:lang w:val="es-CO"/>
        </w:rPr>
        <w:t>#FAF6EE</w:t>
      </w:r>
      <w:r w:rsidRPr="00470B8B">
        <w:rPr>
          <w:rFonts w:eastAsia="Times New Roman" w:cs="Times New Roman"/>
          <w:lang w:val="es-CO"/>
        </w:rPr>
        <w:t xml:space="preserve"> (crema cálida). La relación de contraste calculada es </w:t>
      </w:r>
      <w:r w:rsidRPr="00470B8B">
        <w:rPr>
          <w:rFonts w:eastAsia="Times New Roman" w:cs="Times New Roman"/>
          <w:b/>
          <w:lang w:val="es-CO"/>
        </w:rPr>
        <w:t>15,6:1</w:t>
      </w:r>
      <w:r w:rsidRPr="00470B8B">
        <w:rPr>
          <w:rFonts w:eastAsia="Times New Roman" w:cs="Times New Roman"/>
          <w:lang w:val="es-CO"/>
        </w:rPr>
        <w:t>, muy por encima del mínimo 7:1 del nivel AAA de WCAG 2.2. La elección del fondo crema en lugar de blanco nuclear se justifica porque el blanco produce deslumbramiento en personas con cataratas y en adultos mayores, mientras que el crema mantiene el contraste alto y reduce la fatiga visual (RNIB, 2023; British Dyslexia Association, 2014).</w:t>
      </w:r>
    </w:p>
    <w:p w14:paraId="025222C7"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Colores fuertes</w:t>
      </w:r>
    </w:p>
    <w:p w14:paraId="240CD030" w14:textId="77777777" w:rsidR="008333E6" w:rsidRPr="00470B8B" w:rsidRDefault="00000000">
      <w:pPr>
        <w:spacing w:after="0" w:line="480" w:lineRule="auto"/>
        <w:ind w:firstLine="720"/>
        <w:jc w:val="both"/>
        <w:rPr>
          <w:lang w:val="es-CO"/>
        </w:rPr>
      </w:pPr>
      <w:r w:rsidRPr="00470B8B">
        <w:rPr>
          <w:rFonts w:eastAsia="Times New Roman" w:cs="Times New Roman"/>
          <w:lang w:val="es-CO"/>
        </w:rPr>
        <w:lastRenderedPageBreak/>
        <w:t>Se seleccionaron cinco colores fuertes para usar en textos destacados, personajes y elementos importantes:</w:t>
      </w:r>
    </w:p>
    <w:p w14:paraId="1A9B7525"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Color | Código |</w:t>
      </w:r>
    </w:p>
    <w:p w14:paraId="58E9BD4B" w14:textId="77777777" w:rsidR="008333E6" w:rsidRPr="00470B8B" w:rsidRDefault="00000000">
      <w:pPr>
        <w:spacing w:after="0" w:line="480" w:lineRule="auto"/>
        <w:ind w:firstLine="720"/>
        <w:jc w:val="both"/>
        <w:rPr>
          <w:lang w:val="es-CO"/>
        </w:rPr>
      </w:pPr>
      <w:r w:rsidRPr="00470B8B">
        <w:rPr>
          <w:rFonts w:eastAsia="Times New Roman" w:cs="Times New Roman"/>
          <w:lang w:val="es-CO"/>
        </w:rPr>
        <w:t>|---|---|</w:t>
      </w:r>
    </w:p>
    <w:p w14:paraId="1A0FD092"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Naranja | #F28F16 |</w:t>
      </w:r>
    </w:p>
    <w:p w14:paraId="6BC14136"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Azul Negro | #022873 |</w:t>
      </w:r>
    </w:p>
    <w:p w14:paraId="6FEF9C17"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Verde Negro | #28401D |</w:t>
      </w:r>
    </w:p>
    <w:p w14:paraId="564418B6"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Rojo Negro | #730C02 |</w:t>
      </w:r>
    </w:p>
    <w:p w14:paraId="0D74EFC9"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Rojo Terracota | #BF281B |</w:t>
      </w:r>
    </w:p>
    <w:p w14:paraId="5A1FBA8D"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xml:space="preserve">Estos colores fueron verificados con el simulador de daltonismo de Adobe Color. Bajo deuteranopia, protanopia y tritanopia, los cinco colores mantienen suficiente diferenciación entre sí, aunque en protanopia el naranja y el rojo terracota pueden percibirse similares. Para resolver este caso, las reglas de uso indican que </w:t>
      </w:r>
      <w:r w:rsidRPr="00470B8B">
        <w:rPr>
          <w:rFonts w:eastAsia="Times New Roman" w:cs="Times New Roman"/>
          <w:b/>
          <w:lang w:val="es-CO"/>
        </w:rPr>
        <w:t>no se deben combinar colores similares sin un contorno o forma que los diferencie</w:t>
      </w:r>
      <w:r w:rsidRPr="00470B8B">
        <w:rPr>
          <w:rFonts w:eastAsia="Times New Roman" w:cs="Times New Roman"/>
          <w:lang w:val="es-CO"/>
        </w:rPr>
        <w:t>.</w:t>
      </w:r>
    </w:p>
    <w:p w14:paraId="0E448679"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Colores suaves</w:t>
      </w:r>
    </w:p>
    <w:p w14:paraId="75E77BDD" w14:textId="77777777" w:rsidR="008333E6" w:rsidRPr="00470B8B" w:rsidRDefault="00000000">
      <w:pPr>
        <w:spacing w:after="0" w:line="480" w:lineRule="auto"/>
        <w:ind w:firstLine="720"/>
        <w:jc w:val="both"/>
        <w:rPr>
          <w:lang w:val="es-CO"/>
        </w:rPr>
      </w:pPr>
      <w:r w:rsidRPr="00470B8B">
        <w:rPr>
          <w:rFonts w:eastAsia="Times New Roman" w:cs="Times New Roman"/>
          <w:lang w:val="es-CO"/>
        </w:rPr>
        <w:t>Se seleccionaron cinco colores suaves para usar en fondos, decoraciones y elementos de gran tamaño:</w:t>
      </w:r>
    </w:p>
    <w:p w14:paraId="4C87B80F"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Color | Código |</w:t>
      </w:r>
    </w:p>
    <w:p w14:paraId="0DACEB26" w14:textId="77777777" w:rsidR="008333E6" w:rsidRPr="00470B8B" w:rsidRDefault="00000000">
      <w:pPr>
        <w:spacing w:after="0" w:line="480" w:lineRule="auto"/>
        <w:ind w:firstLine="720"/>
        <w:jc w:val="both"/>
        <w:rPr>
          <w:lang w:val="es-CO"/>
        </w:rPr>
      </w:pPr>
      <w:r w:rsidRPr="00470B8B">
        <w:rPr>
          <w:rFonts w:eastAsia="Times New Roman" w:cs="Times New Roman"/>
          <w:lang w:val="es-CO"/>
        </w:rPr>
        <w:t>|---|---|</w:t>
      </w:r>
    </w:p>
    <w:p w14:paraId="3DC5C029"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Verde Salvia Suave | #CCDEC1 |</w:t>
      </w:r>
    </w:p>
    <w:p w14:paraId="6669B6F0"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Amarillo Apagado | #D9C179 |</w:t>
      </w:r>
    </w:p>
    <w:p w14:paraId="009C116C"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Indigo Claro | #DDD8F1 |</w:t>
      </w:r>
    </w:p>
    <w:p w14:paraId="7E5515DA"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Rosa Claro | #F3D6D5 |</w:t>
      </w:r>
    </w:p>
    <w:p w14:paraId="21344030" w14:textId="77777777" w:rsidR="008333E6" w:rsidRPr="00470B8B" w:rsidRDefault="00000000">
      <w:pPr>
        <w:spacing w:after="0" w:line="480" w:lineRule="auto"/>
        <w:ind w:firstLine="720"/>
        <w:jc w:val="both"/>
        <w:rPr>
          <w:lang w:val="es-CO"/>
        </w:rPr>
      </w:pPr>
      <w:r w:rsidRPr="00470B8B">
        <w:rPr>
          <w:rFonts w:eastAsia="Times New Roman" w:cs="Times New Roman"/>
          <w:lang w:val="es-CO"/>
        </w:rPr>
        <w:lastRenderedPageBreak/>
        <w:t>| Naranja Pastel Apagado | #D4C3A3 |</w:t>
      </w:r>
    </w:p>
    <w:p w14:paraId="6C8F3758" w14:textId="77777777" w:rsidR="008333E6" w:rsidRPr="00470B8B" w:rsidRDefault="00000000">
      <w:pPr>
        <w:spacing w:after="0" w:line="480" w:lineRule="auto"/>
        <w:ind w:firstLine="720"/>
        <w:jc w:val="both"/>
        <w:rPr>
          <w:lang w:val="es-CO"/>
        </w:rPr>
      </w:pPr>
      <w:r w:rsidRPr="00470B8B">
        <w:rPr>
          <w:rFonts w:eastAsia="Times New Roman" w:cs="Times New Roman"/>
          <w:lang w:val="es-CO"/>
        </w:rPr>
        <w:t>Estos colores se utilizan únicamente en fondos, decoraciones y elementos de gran tamaño, ya que no ofrecen suficiente contraste para textos pequeños. La verificación con Adobe Color muestra que se diferencian de los colores fuertes en simulación de los tres tipos de daltonismo, por lo que no se confunden con ellos.</w:t>
      </w:r>
    </w:p>
    <w:p w14:paraId="4D4B16DD"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Niveles de contraste</w:t>
      </w:r>
    </w:p>
    <w:p w14:paraId="54B90BB4" w14:textId="77777777" w:rsidR="008333E6" w:rsidRPr="00470B8B" w:rsidRDefault="00000000">
      <w:pPr>
        <w:spacing w:after="0" w:line="480" w:lineRule="auto"/>
        <w:ind w:firstLine="720"/>
        <w:jc w:val="both"/>
        <w:rPr>
          <w:lang w:val="es-CO"/>
        </w:rPr>
      </w:pPr>
      <w:r w:rsidRPr="00470B8B">
        <w:rPr>
          <w:rFonts w:eastAsia="Times New Roman" w:cs="Times New Roman"/>
          <w:lang w:val="es-CO"/>
        </w:rPr>
        <w:t>Todas las combinaciones de color fueron verificadas bajo WCAG 2.2 para garantizar la legibilidad. Se definieron cuatro niveles de uso:</w:t>
      </w:r>
    </w:p>
    <w:p w14:paraId="5A02D60D" w14:textId="77777777" w:rsidR="008333E6" w:rsidRPr="00470B8B" w:rsidRDefault="00000000">
      <w:pPr>
        <w:spacing w:after="0" w:line="480" w:lineRule="auto"/>
        <w:ind w:left="720" w:hanging="360"/>
        <w:rPr>
          <w:lang w:val="es-CO"/>
        </w:rPr>
      </w:pPr>
      <w:r w:rsidRPr="00470B8B">
        <w:rPr>
          <w:rFonts w:eastAsia="Times New Roman" w:cs="Times New Roman"/>
          <w:lang w:val="es-CO"/>
        </w:rPr>
        <w:t xml:space="preserve">• </w:t>
      </w:r>
      <w:r w:rsidRPr="00470B8B">
        <w:rPr>
          <w:rFonts w:eastAsia="Times New Roman" w:cs="Times New Roman"/>
          <w:b/>
          <w:lang w:val="es-CO"/>
        </w:rPr>
        <w:t>AAA:</w:t>
      </w:r>
      <w:r w:rsidRPr="00470B8B">
        <w:rPr>
          <w:rFonts w:eastAsia="Times New Roman" w:cs="Times New Roman"/>
          <w:lang w:val="es-CO"/>
        </w:rPr>
        <w:t xml:space="preserve"> contraste excelente. Puede utilizarse en cualquier texto, incluso de tamaño pequeño. Corresponde a las combinaciones de colores fuertes con el par base.</w:t>
      </w:r>
    </w:p>
    <w:p w14:paraId="39DA8C83" w14:textId="77777777" w:rsidR="008333E6" w:rsidRPr="00470B8B" w:rsidRDefault="00000000">
      <w:pPr>
        <w:spacing w:after="0" w:line="480" w:lineRule="auto"/>
        <w:ind w:left="720" w:hanging="360"/>
        <w:rPr>
          <w:lang w:val="es-CO"/>
        </w:rPr>
      </w:pPr>
      <w:r w:rsidRPr="00470B8B">
        <w:rPr>
          <w:rFonts w:eastAsia="Times New Roman" w:cs="Times New Roman"/>
          <w:lang w:val="es-CO"/>
        </w:rPr>
        <w:t xml:space="preserve">• </w:t>
      </w:r>
      <w:r w:rsidRPr="00470B8B">
        <w:rPr>
          <w:rFonts w:eastAsia="Times New Roman" w:cs="Times New Roman"/>
          <w:b/>
          <w:lang w:val="es-CO"/>
        </w:rPr>
        <w:t>AA:</w:t>
      </w:r>
      <w:r w:rsidRPr="00470B8B">
        <w:rPr>
          <w:rFonts w:eastAsia="Times New Roman" w:cs="Times New Roman"/>
          <w:lang w:val="es-CO"/>
        </w:rPr>
        <w:t xml:space="preserve"> contraste adecuado para textos e ilustraciones. Corresponde a combinaciones complementarias entre colores fuertes.</w:t>
      </w:r>
    </w:p>
    <w:p w14:paraId="104D44A0" w14:textId="77777777" w:rsidR="008333E6" w:rsidRPr="00470B8B" w:rsidRDefault="00000000">
      <w:pPr>
        <w:spacing w:after="0" w:line="480" w:lineRule="auto"/>
        <w:ind w:left="720" w:hanging="360"/>
        <w:rPr>
          <w:lang w:val="es-CO"/>
        </w:rPr>
      </w:pPr>
      <w:r w:rsidRPr="00470B8B">
        <w:rPr>
          <w:rFonts w:eastAsia="Times New Roman" w:cs="Times New Roman"/>
          <w:lang w:val="es-CO"/>
        </w:rPr>
        <w:t xml:space="preserve">• </w:t>
      </w:r>
      <w:r w:rsidRPr="00470B8B">
        <w:rPr>
          <w:rFonts w:eastAsia="Times New Roman" w:cs="Times New Roman"/>
          <w:b/>
          <w:lang w:val="es-CO"/>
        </w:rPr>
        <w:t>UI/Gráfico:</w:t>
      </w:r>
      <w:r w:rsidRPr="00470B8B">
        <w:rPr>
          <w:rFonts w:eastAsia="Times New Roman" w:cs="Times New Roman"/>
          <w:lang w:val="es-CO"/>
        </w:rPr>
        <w:t xml:space="preserve"> solo recomendado para iconos, figuras o elementos grandes. No debe utilizarse en texto pequeño.</w:t>
      </w:r>
    </w:p>
    <w:p w14:paraId="7F4E6917" w14:textId="77777777" w:rsidR="008333E6" w:rsidRPr="00470B8B" w:rsidRDefault="00000000">
      <w:pPr>
        <w:spacing w:after="0" w:line="480" w:lineRule="auto"/>
        <w:ind w:left="720" w:hanging="360"/>
        <w:rPr>
          <w:lang w:val="es-CO"/>
        </w:rPr>
      </w:pPr>
      <w:r w:rsidRPr="00470B8B">
        <w:rPr>
          <w:rFonts w:eastAsia="Times New Roman" w:cs="Times New Roman"/>
          <w:lang w:val="es-CO"/>
        </w:rPr>
        <w:t xml:space="preserve">• </w:t>
      </w:r>
      <w:r w:rsidRPr="00470B8B">
        <w:rPr>
          <w:rFonts w:eastAsia="Times New Roman" w:cs="Times New Roman"/>
          <w:b/>
          <w:lang w:val="es-CO"/>
        </w:rPr>
        <w:t>Decoración:</w:t>
      </w:r>
      <w:r w:rsidRPr="00470B8B">
        <w:rPr>
          <w:rFonts w:eastAsia="Times New Roman" w:cs="Times New Roman"/>
          <w:lang w:val="es-CO"/>
        </w:rPr>
        <w:t xml:space="preserve"> únicamente para fondos o elementos decorativos, ya que su contraste es insuficiente para lectura. Corresponde a los colores suaves.</w:t>
      </w:r>
    </w:p>
    <w:p w14:paraId="7E2295AE" w14:textId="77777777" w:rsidR="008333E6" w:rsidRPr="00470B8B" w:rsidRDefault="00000000">
      <w:pPr>
        <w:spacing w:before="120" w:after="60" w:line="480" w:lineRule="auto"/>
        <w:outlineLvl w:val="2"/>
        <w:rPr>
          <w:lang w:val="es-CO"/>
        </w:rPr>
      </w:pPr>
      <w:r w:rsidRPr="00470B8B">
        <w:rPr>
          <w:rFonts w:eastAsia="Times New Roman" w:cs="Times New Roman"/>
          <w:b/>
          <w:i/>
          <w:lang w:val="es-CO"/>
        </w:rPr>
        <w:t>Reglas de uso</w:t>
      </w:r>
    </w:p>
    <w:p w14:paraId="0FD53E02" w14:textId="77777777" w:rsidR="008333E6" w:rsidRPr="00470B8B" w:rsidRDefault="00000000">
      <w:pPr>
        <w:spacing w:after="0" w:line="480" w:lineRule="auto"/>
        <w:ind w:firstLine="720"/>
        <w:jc w:val="both"/>
        <w:rPr>
          <w:lang w:val="es-CO"/>
        </w:rPr>
      </w:pPr>
      <w:r w:rsidRPr="00470B8B">
        <w:rPr>
          <w:rFonts w:eastAsia="Times New Roman" w:cs="Times New Roman"/>
          <w:lang w:val="es-CO"/>
        </w:rPr>
        <w:t>Para mantener la accesibilidad de la paleta, se establecieron cuatro reglas:</w:t>
      </w:r>
    </w:p>
    <w:p w14:paraId="02B887B4" w14:textId="77777777" w:rsidR="008333E6" w:rsidRPr="00470B8B" w:rsidRDefault="00000000">
      <w:pPr>
        <w:spacing w:line="480" w:lineRule="auto"/>
        <w:ind w:left="720" w:hanging="360"/>
        <w:rPr>
          <w:lang w:val="es-CO"/>
        </w:rPr>
      </w:pPr>
      <w:r w:rsidRPr="00470B8B">
        <w:rPr>
          <w:rFonts w:eastAsia="Times New Roman" w:cs="Times New Roman"/>
          <w:lang w:val="es-CO"/>
        </w:rPr>
        <w:t>1. No combinar colores similares sin un contorno o forma que los diferencie (W3C/WAI, 2023).</w:t>
      </w:r>
    </w:p>
    <w:p w14:paraId="7C3AC7F9" w14:textId="77777777" w:rsidR="008333E6" w:rsidRPr="00470B8B" w:rsidRDefault="00000000">
      <w:pPr>
        <w:spacing w:line="480" w:lineRule="auto"/>
        <w:ind w:left="720" w:hanging="360"/>
        <w:rPr>
          <w:lang w:val="es-CO"/>
        </w:rPr>
      </w:pPr>
      <w:r w:rsidRPr="00470B8B">
        <w:rPr>
          <w:rFonts w:eastAsia="Times New Roman" w:cs="Times New Roman"/>
          <w:lang w:val="es-CO"/>
        </w:rPr>
        <w:t>2. Usar negro (#0A0A0A) o azul medianoche para textos pequeños.</w:t>
      </w:r>
    </w:p>
    <w:p w14:paraId="76169584" w14:textId="77777777" w:rsidR="008333E6" w:rsidRPr="00470B8B" w:rsidRDefault="00000000">
      <w:pPr>
        <w:spacing w:line="480" w:lineRule="auto"/>
        <w:ind w:left="720" w:hanging="360"/>
        <w:rPr>
          <w:lang w:val="es-CO"/>
        </w:rPr>
      </w:pPr>
      <w:r w:rsidRPr="00470B8B">
        <w:rPr>
          <w:rFonts w:eastAsia="Times New Roman" w:cs="Times New Roman"/>
          <w:lang w:val="es-CO"/>
        </w:rPr>
        <w:t>3. Verificar cada página con un simulador de daltonismo antes de imprimir.</w:t>
      </w:r>
    </w:p>
    <w:p w14:paraId="5B72D5AC" w14:textId="77777777" w:rsidR="008333E6" w:rsidRPr="00470B8B" w:rsidRDefault="00000000">
      <w:pPr>
        <w:spacing w:line="480" w:lineRule="auto"/>
        <w:ind w:left="720" w:hanging="360"/>
        <w:rPr>
          <w:lang w:val="es-CO"/>
        </w:rPr>
      </w:pPr>
      <w:r w:rsidRPr="00470B8B">
        <w:rPr>
          <w:rFonts w:eastAsia="Times New Roman" w:cs="Times New Roman"/>
          <w:lang w:val="es-CO"/>
        </w:rPr>
        <w:lastRenderedPageBreak/>
        <w:t>4. Mantener el contraste si algún color cambia durante el proceso de impresión.</w:t>
      </w:r>
    </w:p>
    <w:p w14:paraId="5F7C16E7"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Discusión</w:t>
      </w:r>
    </w:p>
    <w:p w14:paraId="36877994" w14:textId="77777777" w:rsidR="008333E6" w:rsidRPr="00470B8B" w:rsidRDefault="00000000">
      <w:pPr>
        <w:spacing w:after="0" w:line="480" w:lineRule="auto"/>
        <w:ind w:firstLine="720"/>
        <w:jc w:val="both"/>
        <w:rPr>
          <w:lang w:val="es-CO"/>
        </w:rPr>
      </w:pPr>
      <w:r w:rsidRPr="00470B8B">
        <w:rPr>
          <w:rFonts w:eastAsia="Times New Roman" w:cs="Times New Roman"/>
          <w:lang w:val="es-CO"/>
        </w:rPr>
        <w:t>La selección de la paleta partió de una decisión clave: la accesibilidad cromática no se resuelve solo con un par de alto contraste, sino con un sistema de tres capas: el par base para lectura, los colores fuertes para diferenciación de elementos, y los colores suaves para ambientación. Esta estructura es coherente con la recomendación de Okabe e Ito (2008) de combinar colores que se diferencien en simulación de daltonismo, y con la regla WCAG de no usar el color como único canal de información (W3C/WAI, 2023).</w:t>
      </w:r>
    </w:p>
    <w:p w14:paraId="064FFE8E" w14:textId="77777777" w:rsidR="008333E6" w:rsidRPr="00470B8B" w:rsidRDefault="00000000">
      <w:pPr>
        <w:spacing w:after="0" w:line="480" w:lineRule="auto"/>
        <w:ind w:firstLine="720"/>
        <w:jc w:val="both"/>
        <w:rPr>
          <w:lang w:val="es-CO"/>
        </w:rPr>
      </w:pPr>
      <w:r w:rsidRPr="00470B8B">
        <w:rPr>
          <w:rFonts w:eastAsia="Times New Roman" w:cs="Times New Roman"/>
          <w:lang w:val="es-CO"/>
        </w:rPr>
        <w:t>El uso de la herramienta Adobe Color fue central en la verificación. La simulación de deuteranopia, protanopia y tritanopia permitió comprobar que los cinco colores fuertes mantienen su diferenciación bajo las tres formas principales de daltonismo, aunque con una excepción documentada: en protanopia, el naranja y el rojo terracota pueden percibirse similares. Esta excepción se resolvió mediante la regla de uso número uno, que exige un segundo canal (contorno o forma) cuando se combinan colores cercanos.</w:t>
      </w:r>
    </w:p>
    <w:p w14:paraId="45E5549E" w14:textId="77777777" w:rsidR="008333E6" w:rsidRPr="00470B8B" w:rsidRDefault="00000000">
      <w:pPr>
        <w:spacing w:after="0" w:line="480" w:lineRule="auto"/>
        <w:ind w:firstLine="720"/>
        <w:jc w:val="both"/>
        <w:rPr>
          <w:lang w:val="es-CO"/>
        </w:rPr>
      </w:pPr>
      <w:r w:rsidRPr="00470B8B">
        <w:rPr>
          <w:rFonts w:eastAsia="Times New Roman" w:cs="Times New Roman"/>
          <w:lang w:val="es-CO"/>
        </w:rPr>
        <w:t>La elección del fondo crema en lugar de blanco nuclear responde a dos necesidades simultáneas: por un lado, las recomendaciones de la British Dyslexia Association y el Royal National Institute of Blind People (British Dyslexia Association, 2014; RNIB, 2023); por otro, la relación de contraste de 15,6:1, que supera el mínimo 7:1 del nivel AAA. La relación 15,6:1 es la misma que se usa en la tipografía Atkinson Hyperlegible, lo que garantiza coherencia entre la decisión cromática y la decisión tipográfica del libro.</w:t>
      </w:r>
    </w:p>
    <w:p w14:paraId="09EC12BC" w14:textId="77777777" w:rsidR="008333E6" w:rsidRPr="00470B8B" w:rsidRDefault="00000000">
      <w:pPr>
        <w:spacing w:after="0" w:line="480" w:lineRule="auto"/>
        <w:ind w:firstLine="720"/>
        <w:jc w:val="both"/>
        <w:rPr>
          <w:lang w:val="es-CO"/>
        </w:rPr>
      </w:pPr>
      <w:r w:rsidRPr="00470B8B">
        <w:rPr>
          <w:rFonts w:eastAsia="Times New Roman" w:cs="Times New Roman"/>
          <w:lang w:val="es-CO"/>
        </w:rPr>
        <w:t xml:space="preserve">Una limitación que conviene documentar es que la paleta fue verificada con herramientas digitales (Adobe Color y Coolors), no con pruebas de impresión. La regla de uso número cuatro ("mantener el contraste si algún color cambia durante la impresión") está prevista para este caso, </w:t>
      </w:r>
      <w:r w:rsidRPr="00470B8B">
        <w:rPr>
          <w:rFonts w:eastAsia="Times New Roman" w:cs="Times New Roman"/>
          <w:lang w:val="es-CO"/>
        </w:rPr>
        <w:lastRenderedPageBreak/>
        <w:t>pero se recomienda hacer una prueba de impresión y verificar el contraste con el Verificador de Contraste de WebAIM antes de mandar a imprenta.</w:t>
      </w:r>
    </w:p>
    <w:p w14:paraId="409767E6" w14:textId="77777777" w:rsidR="008333E6" w:rsidRPr="00470B8B" w:rsidRDefault="00000000">
      <w:pPr>
        <w:spacing w:before="240" w:after="120" w:line="480" w:lineRule="auto"/>
        <w:outlineLvl w:val="1"/>
        <w:rPr>
          <w:lang w:val="es-CO"/>
        </w:rPr>
      </w:pPr>
      <w:r w:rsidRPr="00470B8B">
        <w:rPr>
          <w:rFonts w:eastAsia="Times New Roman" w:cs="Times New Roman"/>
          <w:b/>
          <w:lang w:val="es-CO"/>
        </w:rPr>
        <w:t>Conclusiones</w:t>
      </w:r>
    </w:p>
    <w:p w14:paraId="0B79C5D7" w14:textId="77777777" w:rsidR="008333E6" w:rsidRPr="00470B8B" w:rsidRDefault="00000000">
      <w:pPr>
        <w:spacing w:line="480" w:lineRule="auto"/>
        <w:ind w:left="720" w:hanging="360"/>
        <w:rPr>
          <w:lang w:val="es-CO"/>
        </w:rPr>
      </w:pPr>
      <w:r w:rsidRPr="00470B8B">
        <w:rPr>
          <w:rFonts w:eastAsia="Times New Roman" w:cs="Times New Roman"/>
          <w:lang w:val="es-CO"/>
        </w:rPr>
        <w:t>1. La paleta seleccionada cumple simultáneamente con tres condiciones: contraste AAA para el par base, diferenciación de colores fuertes bajo simulación de daltonismo, y uso de colores suaves limitados a decoraciones.</w:t>
      </w:r>
    </w:p>
    <w:p w14:paraId="59A77011" w14:textId="77777777" w:rsidR="008333E6" w:rsidRPr="00470B8B" w:rsidRDefault="00000000">
      <w:pPr>
        <w:spacing w:line="480" w:lineRule="auto"/>
        <w:ind w:left="720" w:hanging="360"/>
        <w:rPr>
          <w:lang w:val="es-CO"/>
        </w:rPr>
      </w:pPr>
      <w:r w:rsidRPr="00470B8B">
        <w:rPr>
          <w:rFonts w:eastAsia="Times New Roman" w:cs="Times New Roman"/>
          <w:lang w:val="es-CO"/>
        </w:rPr>
        <w:t>1. El par base de alto contraste (#0A0A0A sobre #FAF6EE, con relación 15,6:1) cubre las condiciones de baja visión y reduce el deslumbramiento en cataratas, según el Royal National Institute of Blind People y la British Dyslexia Association.</w:t>
      </w:r>
    </w:p>
    <w:p w14:paraId="07832767" w14:textId="77777777" w:rsidR="008333E6" w:rsidRPr="00470B8B" w:rsidRDefault="00000000">
      <w:pPr>
        <w:spacing w:line="480" w:lineRule="auto"/>
        <w:ind w:left="720" w:hanging="360"/>
        <w:rPr>
          <w:lang w:val="es-CO"/>
        </w:rPr>
      </w:pPr>
      <w:r w:rsidRPr="00470B8B">
        <w:rPr>
          <w:rFonts w:eastAsia="Times New Roman" w:cs="Times New Roman"/>
          <w:lang w:val="es-CO"/>
        </w:rPr>
        <w:t>1. La diferenciación de los colores fuertes bajo simulación de daltonismo se logró siguiendo la paleta de Okabe e Ito (2008) y verificando con Adobe Color, aunque se documentó la excepción del naranja y el rojo terracota en protanopia, resuelta con un segundo canal (contorno o forma).</w:t>
      </w:r>
    </w:p>
    <w:p w14:paraId="4D8B4B1F" w14:textId="77777777" w:rsidR="008333E6" w:rsidRPr="00470B8B" w:rsidRDefault="00000000">
      <w:pPr>
        <w:spacing w:line="480" w:lineRule="auto"/>
        <w:ind w:left="720" w:hanging="360"/>
        <w:rPr>
          <w:lang w:val="es-CO"/>
        </w:rPr>
      </w:pPr>
      <w:r w:rsidRPr="00470B8B">
        <w:rPr>
          <w:rFonts w:eastAsia="Times New Roman" w:cs="Times New Roman"/>
          <w:lang w:val="es-CO"/>
        </w:rPr>
        <w:t>1. Las reglas de uso son la pieza que conecta la paleta con la imprenta. Sin ellas, una buena paleta puede fallar al combinarse mal. La regla más importante es la primera: no usar el color como único canal para distinguir elementos.</w:t>
      </w:r>
    </w:p>
    <w:p w14:paraId="73CDC0A5" w14:textId="77777777" w:rsidR="008333E6" w:rsidRPr="00470B8B" w:rsidRDefault="00000000">
      <w:pPr>
        <w:spacing w:line="480" w:lineRule="auto"/>
        <w:ind w:left="720" w:hanging="360"/>
        <w:rPr>
          <w:lang w:val="es-CO"/>
        </w:rPr>
      </w:pPr>
      <w:r w:rsidRPr="00470B8B">
        <w:rPr>
          <w:rFonts w:eastAsia="Times New Roman" w:cs="Times New Roman"/>
          <w:lang w:val="es-CO"/>
        </w:rPr>
        <w:t>1. El Semillero AASI debe repetir la verificación cromática si en el futuro se incorporan nuevos colores a la paleta, o si la imprenta propone ajustes por motivos técnicos. La paleta actual se basa en la mejor verificación disponible al momento del diseño.</w:t>
      </w:r>
    </w:p>
    <w:p w14:paraId="376478B9" w14:textId="77777777" w:rsidR="008333E6" w:rsidRPr="00470B8B" w:rsidRDefault="008333E6">
      <w:pPr>
        <w:pBdr>
          <w:bottom w:val="single" w:sz="6" w:space="1" w:color="auto"/>
        </w:pBdr>
        <w:spacing w:line="240" w:lineRule="auto"/>
        <w:rPr>
          <w:lang w:val="es-CO"/>
        </w:rPr>
      </w:pPr>
    </w:p>
    <w:p w14:paraId="24781193" w14:textId="77777777" w:rsidR="008333E6" w:rsidRPr="00470B8B" w:rsidRDefault="00000000">
      <w:pPr>
        <w:spacing w:before="240" w:after="120" w:line="480" w:lineRule="auto"/>
        <w:jc w:val="center"/>
        <w:outlineLvl w:val="0"/>
        <w:rPr>
          <w:lang w:val="es-CO"/>
        </w:rPr>
      </w:pPr>
      <w:r w:rsidRPr="00470B8B">
        <w:rPr>
          <w:rFonts w:eastAsia="Times New Roman" w:cs="Times New Roman"/>
          <w:b/>
          <w:lang w:val="es-CO"/>
        </w:rPr>
        <w:t>Referencias</w:t>
      </w:r>
    </w:p>
    <w:p w14:paraId="2D46E901" w14:textId="77777777" w:rsidR="008333E6" w:rsidRPr="00470B8B" w:rsidRDefault="00000000">
      <w:pPr>
        <w:spacing w:after="0" w:line="480" w:lineRule="auto"/>
        <w:ind w:firstLine="720"/>
        <w:jc w:val="both"/>
        <w:rPr>
          <w:lang w:val="es-CO"/>
        </w:rPr>
      </w:pPr>
      <w:r w:rsidRPr="00470B8B">
        <w:rPr>
          <w:rFonts w:eastAsia="Times New Roman" w:cs="Times New Roman"/>
          <w:lang w:val="es-CO"/>
        </w:rPr>
        <w:lastRenderedPageBreak/>
        <w:t xml:space="preserve">&amp;nbsp;&amp;nbsp;Adobe. (s. f.-a). </w:t>
      </w:r>
      <w:r w:rsidRPr="00470B8B">
        <w:rPr>
          <w:rFonts w:eastAsia="Times New Roman" w:cs="Times New Roman"/>
          <w:i/>
          <w:lang w:val="es-CO"/>
        </w:rPr>
        <w:t>Adobe Color</w:t>
      </w:r>
      <w:r w:rsidRPr="00470B8B">
        <w:rPr>
          <w:rFonts w:eastAsia="Times New Roman" w:cs="Times New Roman"/>
          <w:lang w:val="es-CO"/>
        </w:rPr>
        <w:t xml:space="preserve"> [Herramienta en línea]. https://color.adobe.com/</w:t>
      </w:r>
    </w:p>
    <w:p w14:paraId="14659279" w14:textId="77777777" w:rsidR="008333E6" w:rsidRDefault="00000000">
      <w:pPr>
        <w:spacing w:after="0" w:line="480" w:lineRule="auto"/>
        <w:ind w:firstLine="720"/>
        <w:jc w:val="both"/>
      </w:pPr>
      <w:r w:rsidRPr="00470B8B">
        <w:rPr>
          <w:rFonts w:eastAsia="Times New Roman" w:cs="Times New Roman"/>
          <w:lang w:val="es-CO"/>
        </w:rPr>
        <w:t xml:space="preserve">&amp;nbsp;&amp;nbsp;Adobe. (s. f.-b). </w:t>
      </w:r>
      <w:r w:rsidRPr="00470B8B">
        <w:rPr>
          <w:rFonts w:eastAsia="Times New Roman" w:cs="Times New Roman"/>
          <w:i/>
          <w:lang w:val="es-CO"/>
        </w:rPr>
        <w:t>Verificador de contraste de color (AA/AAA)</w:t>
      </w:r>
      <w:r w:rsidRPr="00470B8B">
        <w:rPr>
          <w:rFonts w:eastAsia="Times New Roman" w:cs="Times New Roman"/>
          <w:lang w:val="es-CO"/>
        </w:rPr>
        <w:t xml:space="preserve"> [Herramienta en línea]. </w:t>
      </w:r>
      <w:r>
        <w:rPr>
          <w:rFonts w:eastAsia="Times New Roman" w:cs="Times New Roman"/>
        </w:rPr>
        <w:t>Adobe Express. https://www.adobe.com/express/tools/color-contrast-checker</w:t>
      </w:r>
    </w:p>
    <w:p w14:paraId="17B0EDE6" w14:textId="77777777" w:rsidR="008333E6" w:rsidRDefault="00000000">
      <w:pPr>
        <w:spacing w:after="0" w:line="480" w:lineRule="auto"/>
        <w:ind w:firstLine="720"/>
        <w:jc w:val="both"/>
      </w:pPr>
      <w:r>
        <w:rPr>
          <w:rFonts w:eastAsia="Times New Roman" w:cs="Times New Roman"/>
        </w:rPr>
        <w:t xml:space="preserve">&amp;nbsp;&amp;nbsp;British Dyslexia Association. (2014, abril). </w:t>
      </w:r>
      <w:r>
        <w:rPr>
          <w:rFonts w:eastAsia="Times New Roman" w:cs="Times New Roman"/>
          <w:i/>
        </w:rPr>
        <w:t>BDA dyslexia style guide</w:t>
      </w:r>
      <w:r>
        <w:rPr>
          <w:rFonts w:eastAsia="Times New Roman" w:cs="Times New Roman"/>
        </w:rPr>
        <w:t>. The Dyslexia-SpLD Trust. https://www.thedyslexia-spldtrust.org.uk/media/downloads/69-bda-style-guide-april14.pdf</w:t>
      </w:r>
    </w:p>
    <w:p w14:paraId="79A33E08" w14:textId="77777777" w:rsidR="008333E6" w:rsidRPr="00470B8B" w:rsidRDefault="00000000">
      <w:pPr>
        <w:spacing w:after="0" w:line="480" w:lineRule="auto"/>
        <w:ind w:firstLine="720"/>
        <w:jc w:val="both"/>
        <w:rPr>
          <w:lang w:val="es-CO"/>
        </w:rPr>
      </w:pPr>
      <w:r>
        <w:rPr>
          <w:rFonts w:eastAsia="Times New Roman" w:cs="Times New Roman"/>
        </w:rPr>
        <w:t xml:space="preserve">&amp;nbsp;&amp;nbsp;Coolors. (s. f.). </w:t>
      </w:r>
      <w:r w:rsidRPr="00470B8B">
        <w:rPr>
          <w:rFonts w:eastAsia="Times New Roman" w:cs="Times New Roman"/>
          <w:i/>
          <w:lang w:val="es-CO"/>
        </w:rPr>
        <w:t>Contrast checker</w:t>
      </w:r>
      <w:r w:rsidRPr="00470B8B">
        <w:rPr>
          <w:rFonts w:eastAsia="Times New Roman" w:cs="Times New Roman"/>
          <w:lang w:val="es-CO"/>
        </w:rPr>
        <w:t xml:space="preserve"> [Herramienta en línea]. https://coolors.co/contrast-checker</w:t>
      </w:r>
    </w:p>
    <w:p w14:paraId="068FC2EE" w14:textId="77777777" w:rsidR="008333E6" w:rsidRDefault="00000000">
      <w:pPr>
        <w:spacing w:after="0" w:line="480" w:lineRule="auto"/>
        <w:ind w:firstLine="720"/>
        <w:jc w:val="both"/>
      </w:pPr>
      <w:r>
        <w:rPr>
          <w:rFonts w:eastAsia="Times New Roman" w:cs="Times New Roman"/>
        </w:rPr>
        <w:t xml:space="preserve">&amp;nbsp;&amp;nbsp;Okabe, M., &amp; Ito, K. (2008). Color universal design. </w:t>
      </w:r>
      <w:r>
        <w:rPr>
          <w:rFonts w:eastAsia="Times New Roman" w:cs="Times New Roman"/>
          <w:i/>
        </w:rPr>
        <w:t>Journal of the Institute of Image Information and Television Engineers</w:t>
      </w:r>
      <w:r>
        <w:rPr>
          <w:rFonts w:eastAsia="Times New Roman" w:cs="Times New Roman"/>
        </w:rPr>
        <w:t xml:space="preserve">, </w:t>
      </w:r>
      <w:r>
        <w:rPr>
          <w:rFonts w:eastAsia="Times New Roman" w:cs="Times New Roman"/>
          <w:i/>
        </w:rPr>
        <w:t>62</w:t>
      </w:r>
      <w:r>
        <w:rPr>
          <w:rFonts w:eastAsia="Times New Roman" w:cs="Times New Roman"/>
        </w:rPr>
        <w:t>(12), 1963-1971. https://jfly.uni-koeln.de/color/</w:t>
      </w:r>
    </w:p>
    <w:p w14:paraId="5435C80D" w14:textId="77777777" w:rsidR="008333E6" w:rsidRDefault="00000000">
      <w:pPr>
        <w:spacing w:after="0" w:line="480" w:lineRule="auto"/>
        <w:ind w:firstLine="720"/>
        <w:jc w:val="both"/>
      </w:pPr>
      <w:r>
        <w:rPr>
          <w:rFonts w:eastAsia="Times New Roman" w:cs="Times New Roman"/>
        </w:rPr>
        <w:t xml:space="preserve">&amp;nbsp;&amp;nbsp;Royal National Institute of Blind People. (2023). </w:t>
      </w:r>
      <w:r>
        <w:rPr>
          <w:rFonts w:eastAsia="Times New Roman" w:cs="Times New Roman"/>
          <w:i/>
        </w:rPr>
        <w:t>Clear print guidance 2023</w:t>
      </w:r>
      <w:r>
        <w:rPr>
          <w:rFonts w:eastAsia="Times New Roman" w:cs="Times New Roman"/>
        </w:rPr>
        <w:t>. https://www.rnib.org.uk/documents/1643/Clear_Print_guidance_2023.docx</w:t>
      </w:r>
    </w:p>
    <w:p w14:paraId="2E487F47" w14:textId="77777777" w:rsidR="008333E6" w:rsidRDefault="00000000">
      <w:pPr>
        <w:spacing w:after="0" w:line="480" w:lineRule="auto"/>
        <w:ind w:firstLine="720"/>
        <w:jc w:val="both"/>
      </w:pPr>
      <w:r>
        <w:rPr>
          <w:rFonts w:eastAsia="Times New Roman" w:cs="Times New Roman"/>
        </w:rPr>
        <w:t xml:space="preserve">&amp;nbsp;&amp;nbsp;W3C/WAI. (2023). </w:t>
      </w:r>
      <w:r>
        <w:rPr>
          <w:rFonts w:eastAsia="Times New Roman" w:cs="Times New Roman"/>
          <w:i/>
        </w:rPr>
        <w:t>Web content accessibility guidelines (WCAG) 2.2</w:t>
      </w:r>
      <w:r>
        <w:rPr>
          <w:rFonts w:eastAsia="Times New Roman" w:cs="Times New Roman"/>
        </w:rPr>
        <w:t>. https://www.w3.org/TR/WCAG22/</w:t>
      </w:r>
    </w:p>
    <w:sectPr w:rsidR="008333E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03ED" w14:textId="77777777" w:rsidR="000939A9" w:rsidRDefault="000939A9">
      <w:pPr>
        <w:spacing w:after="0" w:line="240" w:lineRule="auto"/>
      </w:pPr>
      <w:r>
        <w:separator/>
      </w:r>
    </w:p>
  </w:endnote>
  <w:endnote w:type="continuationSeparator" w:id="0">
    <w:p w14:paraId="66E06233" w14:textId="77777777" w:rsidR="000939A9" w:rsidRDefault="00093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61ED" w14:textId="77777777" w:rsidR="000939A9" w:rsidRDefault="000939A9">
      <w:pPr>
        <w:spacing w:after="0" w:line="240" w:lineRule="auto"/>
      </w:pPr>
      <w:r>
        <w:separator/>
      </w:r>
    </w:p>
  </w:footnote>
  <w:footnote w:type="continuationSeparator" w:id="0">
    <w:p w14:paraId="7ACACF9B" w14:textId="77777777" w:rsidR="000939A9" w:rsidRDefault="00093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2866" w14:textId="77777777" w:rsidR="008333E6" w:rsidRDefault="00000000">
    <w:pPr>
      <w:pStyle w:val="Encabezado"/>
      <w:jc w:val="right"/>
    </w:pPr>
    <w:r>
      <w:rPr>
        <w:rFonts w:eastAsia="Times New Roman" w:cs="Times New Roman"/>
      </w:rPr>
      <w:fldChar w:fldCharType="begin"/>
    </w:r>
    <w:r>
      <w:rPr>
        <w:rFonts w:eastAsia="Times New Roman" w:cs="Times New Roman"/>
      </w:rPr>
      <w:instrText>PAGE   \* MERGEFORMAT</w:instrText>
    </w:r>
    <w:r>
      <w:rPr>
        <w:rFonts w:eastAsia="Times New Roman" w:cs="Times New Roman"/>
      </w:rPr>
      <w:fldChar w:fldCharType="separate"/>
    </w:r>
    <w:r>
      <w:rPr>
        <w:rFonts w:eastAsia="Times New Roman" w:cs="Times New Roman"/>
      </w:rPr>
      <w:t>1</w:t>
    </w:r>
    <w:r>
      <w:rPr>
        <w:rFonts w:eastAsia="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7883550">
    <w:abstractNumId w:val="8"/>
  </w:num>
  <w:num w:numId="2" w16cid:durableId="1575630213">
    <w:abstractNumId w:val="6"/>
  </w:num>
  <w:num w:numId="3" w16cid:durableId="1986349642">
    <w:abstractNumId w:val="5"/>
  </w:num>
  <w:num w:numId="4" w16cid:durableId="1200127524">
    <w:abstractNumId w:val="4"/>
  </w:num>
  <w:num w:numId="5" w16cid:durableId="1211264918">
    <w:abstractNumId w:val="7"/>
  </w:num>
  <w:num w:numId="6" w16cid:durableId="955451204">
    <w:abstractNumId w:val="3"/>
  </w:num>
  <w:num w:numId="7" w16cid:durableId="1483042152">
    <w:abstractNumId w:val="2"/>
  </w:num>
  <w:num w:numId="8" w16cid:durableId="1077289397">
    <w:abstractNumId w:val="1"/>
  </w:num>
  <w:num w:numId="9" w16cid:durableId="166705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A9"/>
    <w:rsid w:val="0015074B"/>
    <w:rsid w:val="0029639D"/>
    <w:rsid w:val="00326F90"/>
    <w:rsid w:val="00470B8B"/>
    <w:rsid w:val="008333E6"/>
    <w:rsid w:val="00AA1D8D"/>
    <w:rsid w:val="00B47730"/>
    <w:rsid w:val="00CB0664"/>
    <w:rsid w:val="00FC693F"/>
    <w:rsid w:val="00FF73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697AF1-93BF-4E65-BD31-7EFD2B41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2300</Words>
  <Characters>12791</Characters>
  <Application>Microsoft Office Word</Application>
  <DocSecurity>0</DocSecurity>
  <Lines>228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Edilberto Sarmiento Andapiña</cp:lastModifiedBy>
  <cp:revision>2</cp:revision>
  <dcterms:created xsi:type="dcterms:W3CDTF">2013-12-23T23:15:00Z</dcterms:created>
  <dcterms:modified xsi:type="dcterms:W3CDTF">2026-07-10T14:31:00Z</dcterms:modified>
  <cp:category/>
</cp:coreProperties>
</file>