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[요근래 선생님께 드리고 싶었던 메시지♥]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표절 죄송해요 ㅠ.ㅠ 선생님이 만드신 표를 그대로 싹 배껴서 만들었어요.</w:t>
      </w:r>
    </w:p>
    <w:p>
      <w:pPr>
        <w:jc w:val="center"/>
        <w:spacing w:lineRule="auto" w:line="259"/>
        <w:ind w:left="240" w:hanging="240"/>
        <w:rPr>
          <w:b w:val="1"/>
          <w:color w:val="0D0D0D" w:themeColor="text1" w:themeTint="F2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0D0D0D" w:themeColor="text1" w:themeTint="F2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따로 연락하실 사항이 있으시면 </w:t>
      </w:r>
      <w:r>
        <w:fldChar w:fldCharType="begin"/>
      </w:r>
      <w:r>
        <w:instrText xml:space="preserve">HYPERLINK "http://kwonsaeyeon.oco.kr/"</w:instrText>
      </w:r>
      <w:r>
        <w:fldChar w:fldCharType="separate"/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h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t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t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p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: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/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/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k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w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o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n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s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a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e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y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e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o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n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.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o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c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o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.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k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r</w:t>
      </w:r>
      <w:r>
        <w:rPr>
          <w:color w:val="0D0D0D" w:themeColor="text1" w:themeTint="F2"/>
          <w:u w:val="single" w:color="0563C1"/>
          <w:highlight w:val="cyan"/>
          <w:rFonts w:ascii="THE렛츠스마일L" w:eastAsia="THE렛츠스마일L" w:hAnsi="THE렛츠스마일L" w:cs="THE렛츠스마일L"/>
        </w:rPr>
        <w:t>/</w:t>
      </w:r>
      <w:r>
        <w:rPr/>
        <w:fldChar w:fldCharType="end"/>
      </w:r>
      <w:r>
        <w:rPr>
          <w:color w:val="0D0D0D" w:themeColor="text1" w:themeTint="F2"/>
          <w:highlight w:val="cyan"/>
          <w:rFonts w:ascii="THE렛츠스마일L" w:eastAsia="THE렛츠스마일L" w:hAnsi="THE렛츠스마일L" w:cs="THE렛츠스마일L"/>
          <w:lang w:eastAsia="ko-KR"/>
        </w:rPr>
        <w:t xml:space="preserve"> </w:t>
      </w:r>
      <w:r>
        <w:rPr>
          <w:b w:val="1"/>
          <w:color w:val="0D0D0D" w:themeColor="text1" w:themeTint="F2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에 로그인 후 글을 남겨주세요.</w:t>
      </w:r>
    </w:p>
    <w:p>
      <w:pPr>
        <w:jc w:val="center"/>
        <w:spacing w:lineRule="auto" w:line="259"/>
        <w:ind w:left="240" w:hanging="240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 이메일 읽습니다만, 자주 읽지는 않아요. 그리고 제가 9시나 10시, 8시에 자주 일어나기 때문에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강의 듣고 출석체크하는게 늦어질 수 있어요 ㅠ.ㅠ 그리고 꼭 말씀드리고 싶은 게 있는데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제가 할 수 있는 일은 도움반에 오지않고 도움받지않고 스스로 학습하고 수행해나갔으면 좋겠고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저는 아이큐도 105이고 스스로 할 수 있지만 귀찮아서 안하는 거에요. 할 일 스스로 할 수 있으니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highlight w:val="cyan"/>
          <w:rFonts w:ascii="THE렛츠스마일L" w:eastAsia="THE렛츠스마일L" w:hAnsi="THE렛츠스마일L" w:cs="THE렛츠스마일L"/>
          <w:lang w:eastAsia="ko-KR"/>
        </w:rPr>
        <w:t xml:space="preserve">스스로 할 수 있게 허락해주시면 감사합니다!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HE렛츠스마일L" w:eastAsia="THE렛츠스마일L" w:hAnsi="THE렛츠스마일L" w:cs="THE렛츠스마일L"/>
          <w:lang w:eastAsia="ko-KR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HE렛츠스마일L" w:eastAsia="THE렛츠스마일L" w:hAnsi="THE렛츠스마일L" w:cs="THE렛츠스마일L"/>
          <w:lang w:eastAsia="ko-KR"/>
        </w:rPr>
      </w:pPr>
      <w:r>
        <w:rPr>
          <w:b w:val="1"/>
          <w:color w:val="auto"/>
          <w:sz w:val="24"/>
          <w:szCs w:val="24"/>
          <w:rFonts w:ascii="THE렛츠스마일L" w:eastAsia="THE렛츠스마일L" w:hAnsi="THE렛츠스마일L" w:cs="THE렛츠스마일L"/>
          <w:lang w:eastAsia="ko-KR"/>
        </w:rPr>
        <w:t xml:space="preserve">10216. 병점고등학교, 1학년 2반 16번 권새연의 과제물</w:t>
      </w:r>
    </w:p>
    <w:p>
      <w:pPr>
        <w:jc w:val="right"/>
        <w:spacing w:lineRule="auto" w:line="259"/>
        <w:rPr>
          <w:b w:val="1"/>
          <w:color w:val="auto"/>
          <w:sz w:val="24"/>
          <w:szCs w:val="24"/>
          <w:rFonts w:ascii="돋움" w:eastAsia="돋움" w:hAnsi="돋움" w:cs="돋움"/>
          <w:lang w:eastAsia="ko-KR"/>
        </w:rPr>
      </w:pPr>
      <w:r>
        <w:rPr>
          <w:b w:val="1"/>
          <w:color w:val="auto"/>
          <w:sz w:val="24"/>
          <w:szCs w:val="24"/>
          <w:rFonts w:ascii="돋움" w:eastAsia="돋움" w:hAnsi="돋움" w:cs="돋움"/>
          <w:lang w:eastAsia="ko-KR"/>
        </w:rPr>
        <w:t xml:space="preserve">2017년 분기별 악성코드 유형별 통계 (단위: 0건)</w:t>
      </w:r>
    </w:p>
    <w:tbl>
      <w:tblID w:val="0"/>
      <w:tblPr>
        <w:tblStyle w:val="PO37"/>
        <w:tblW w:w="11679" w:type="dxa"/>
        <w:tblInd w:w="-1254" w:type="dxa"/>
        <w:tblLook w:val="0004A0" w:firstRow="1" w:lastRow="0" w:firstColumn="1" w:lastColumn="0" w:noHBand="0" w:noVBand="1"/>
        <w:shd w:val="clear"/>
      </w:tblPr>
      <w:tblGrid>
        <w:gridCol w:w="2091"/>
        <w:gridCol w:w="2030"/>
        <w:gridCol w:w="2088"/>
        <w:gridCol w:w="1829"/>
        <w:gridCol w:w="1800"/>
        <w:gridCol w:w="1841"/>
      </w:tblGrid>
      <w:tr>
        <w:trPr>
          <w:trHeight w:hRule="atleast" w:val="314"/>
        </w:trPr>
        <w:tc>
          <w:tcPr>
            <w:tcW w:type="dxa" w:w="2091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분기</w:t>
            </w:r>
          </w:p>
        </w:tc>
        <w:tc>
          <w:tcPr>
            <w:tcW w:type="dxa" w:w="2030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1분기</w:t>
            </w:r>
          </w:p>
        </w:tc>
        <w:tc>
          <w:tcPr>
            <w:tcW w:type="dxa" w:w="2088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2분기</w:t>
            </w:r>
          </w:p>
        </w:tc>
        <w:tc>
          <w:tcPr>
            <w:tcW w:type="dxa" w:w="1829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3분기</w:t>
            </w:r>
          </w:p>
        </w:tc>
        <w:tc>
          <w:tcPr>
            <w:tcW w:type="dxa" w:w="1800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4분기</w:t>
            </w:r>
          </w:p>
        </w:tc>
        <w:tc>
          <w:tcPr>
            <w:tcW w:type="dxa" w:w="1841"/>
            <w:vAlign w:val="top"/>
          </w:tcPr>
          <w:p>
            <w:pPr>
              <w:jc w:val="center"/>
              <w:spacing w:lineRule="auto" w:line="240" w:after="0"/>
              <w:rPr>
                <w:b w:val="0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sz w:val="20"/>
                <w:szCs w:val="20"/>
                <w:rFonts w:ascii="돋움" w:eastAsia="돋움" w:hAnsi="돋움" w:cs="돋움"/>
                <w:lang w:eastAsia="ko-KR"/>
              </w:rPr>
              <w:t>합계</w:t>
            </w:r>
          </w:p>
        </w:tc>
      </w:tr>
      <w:tr>
        <w:trPr>
          <w:trHeight w:hRule="atleast" w:val="314"/>
        </w:trPr>
        <w:tc>
          <w:tcPr>
            <w:tcW w:type="dxa" w:w="2091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랜섬웨어</w:t>
            </w:r>
          </w:p>
        </w:tc>
        <w:tc>
          <w:tcPr>
            <w:tcW w:type="dxa" w:w="2030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275</w:t>
            </w:r>
          </w:p>
        </w:tc>
        <w:tc>
          <w:tcPr>
            <w:tcW w:type="dxa" w:w="2088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255</w:t>
            </w:r>
          </w:p>
        </w:tc>
        <w:tc>
          <w:tcPr>
            <w:tcW w:type="dxa" w:w="1829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347</w:t>
            </w:r>
          </w:p>
        </w:tc>
        <w:tc>
          <w:tcPr>
            <w:tcW w:type="dxa" w:w="1800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463</w:t>
            </w:r>
          </w:p>
        </w:tc>
        <w:tc>
          <w:tcPr>
            <w:tcW w:type="dxa" w:w="1841"/>
            <w:vAlign w:val="top"/>
          </w:tcPr>
          <w:p>
            <w:pPr>
              <w:jc w:val="right"/>
              <w:spacing w:lineRule="auto" w:line="240" w:after="0"/>
              <w:rPr>
                <w:b w:val="0"/>
                <w:sz w:val="20"/>
                <w:szCs w:val="20"/>
                <w:rFonts w:ascii="돋움" w:eastAsia="돋움" w:hAnsi="돋움" w:cs="돋움"/>
                <w:lang w:eastAsia="ko-KR"/>
              </w:rPr>
            </w:pPr>
          </w:p>
        </w:tc>
      </w:tr>
      <w:tr>
        <w:trPr>
          <w:trHeight w:hRule="atleast" w:val="314"/>
        </w:trPr>
        <w:tc>
          <w:tcPr>
            <w:tcW w:type="dxa" w:w="2091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정보탈취</w:t>
            </w:r>
          </w:p>
        </w:tc>
        <w:tc>
          <w:tcPr>
            <w:tcW w:type="dxa" w:w="2030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80</w:t>
            </w:r>
          </w:p>
        </w:tc>
        <w:tc>
          <w:tcPr>
            <w:tcW w:type="dxa" w:w="2088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130</w:t>
            </w:r>
          </w:p>
        </w:tc>
        <w:tc>
          <w:tcPr>
            <w:tcW w:type="dxa" w:w="1829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44</w:t>
            </w:r>
          </w:p>
        </w:tc>
        <w:tc>
          <w:tcPr>
            <w:tcW w:type="dxa" w:w="1800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82</w:t>
            </w:r>
          </w:p>
        </w:tc>
        <w:tc>
          <w:tcPr>
            <w:tcW w:type="dxa" w:w="1841"/>
            <w:vAlign w:val="top"/>
          </w:tcPr>
          <w:p>
            <w:pPr>
              <w:jc w:val="right"/>
              <w:spacing w:lineRule="auto" w:line="240" w:after="0"/>
              <w:rPr>
                <w:b w:val="0"/>
                <w:sz w:val="20"/>
                <w:szCs w:val="20"/>
                <w:rFonts w:ascii="돋움" w:eastAsia="돋움" w:hAnsi="돋움" w:cs="돋움"/>
                <w:lang w:eastAsia="ko-KR"/>
              </w:rPr>
            </w:pPr>
          </w:p>
        </w:tc>
      </w:tr>
      <w:tr>
        <w:trPr>
          <w:trHeight w:hRule="atleast" w:val="314"/>
        </w:trPr>
        <w:tc>
          <w:tcPr>
            <w:tcW w:type="dxa" w:w="2091"/>
            <w:vAlign w:val="top"/>
            <w:shd w:val="clear" w:color="FFFF00" w:fill="FFFF00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원격제어</w:t>
            </w:r>
          </w:p>
        </w:tc>
        <w:tc>
          <w:tcPr>
            <w:tcW w:type="dxa" w:w="2030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224</w:t>
            </w:r>
          </w:p>
        </w:tc>
        <w:tc>
          <w:tcPr>
            <w:tcW w:type="dxa" w:w="2088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38</w:t>
            </w:r>
          </w:p>
        </w:tc>
        <w:tc>
          <w:tcPr>
            <w:tcW w:type="dxa" w:w="1829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8</w:t>
            </w:r>
          </w:p>
        </w:tc>
        <w:tc>
          <w:tcPr>
            <w:tcW w:type="dxa" w:w="1800"/>
            <w:vAlign w:val="top"/>
            <w:shd w:val="clear" w:color="FFFF00" w:fill="FFFF00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25</w:t>
            </w:r>
          </w:p>
        </w:tc>
        <w:tc>
          <w:tcPr>
            <w:tcW w:type="dxa" w:w="1841"/>
            <w:vAlign w:val="top"/>
          </w:tcPr>
          <w:p>
            <w:pPr>
              <w:jc w:val="right"/>
              <w:spacing w:lineRule="auto" w:line="240" w:after="0"/>
              <w:rPr>
                <w:b w:val="0"/>
                <w:sz w:val="20"/>
                <w:szCs w:val="20"/>
                <w:rFonts w:ascii="돋움" w:eastAsia="돋움" w:hAnsi="돋움" w:cs="돋움"/>
                <w:lang w:eastAsia="ko-KR"/>
              </w:rPr>
            </w:pPr>
          </w:p>
        </w:tc>
      </w:tr>
      <w:tr>
        <w:trPr>
          <w:trHeight w:hRule="atleast" w:val="314"/>
        </w:trPr>
        <w:tc>
          <w:tcPr>
            <w:tcW w:type="dxa" w:w="2091"/>
            <w:vAlign w:val="top"/>
            <w:shd w:val="clear" w:color="FFFFFF" w:fill="FFFFFF"/>
          </w:tcPr>
          <w:p>
            <w:pPr>
              <w:jc w:val="center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파밍</w:t>
            </w:r>
          </w:p>
        </w:tc>
        <w:tc>
          <w:tcPr>
            <w:tcW w:type="dxa" w:w="2030"/>
            <w:vAlign w:val="top"/>
            <w:shd w:val="clear" w:color="FFFFFF" w:fill="FFFFFF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38</w:t>
            </w:r>
          </w:p>
        </w:tc>
        <w:tc>
          <w:tcPr>
            <w:tcW w:type="dxa" w:w="2088"/>
            <w:vAlign w:val="top"/>
            <w:shd w:val="clear" w:color="FFFFFF" w:fill="FFFFFF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0</w:t>
            </w:r>
          </w:p>
        </w:tc>
        <w:tc>
          <w:tcPr>
            <w:tcW w:type="dxa" w:w="1829"/>
            <w:vAlign w:val="top"/>
            <w:shd w:val="clear" w:color="FFFFFF" w:fill="FFFFFF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31</w:t>
            </w:r>
          </w:p>
        </w:tc>
        <w:tc>
          <w:tcPr>
            <w:tcW w:type="dxa" w:w="1800"/>
            <w:vAlign w:val="top"/>
            <w:shd w:val="clear" w:color="FFFFFF" w:fill="FFFFFF"/>
          </w:tcPr>
          <w:p>
            <w:pPr>
              <w:jc w:val="right"/>
              <w:spacing w:lineRule="auto" w:line="240" w:after="0"/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</w:pPr>
            <w:r>
              <w:rPr>
                <w:b w:val="0"/>
                <w:color w:val="000000" w:themeColor="text1"/>
                <w:sz w:val="20"/>
                <w:szCs w:val="20"/>
                <w:rFonts w:ascii="돋움" w:eastAsia="돋움" w:hAnsi="돋움" w:cs="돋움"/>
                <w:lang w:eastAsia="ko-KR"/>
              </w:rPr>
              <w:t>21</w:t>
            </w:r>
          </w:p>
        </w:tc>
        <w:tc>
          <w:tcPr>
            <w:tcW w:type="dxa" w:w="1841"/>
            <w:vAlign w:val="top"/>
            <w:tcBorders>
              <w:tl2br w:val="single" w:color="000000" w:sz="4"/>
              <w:tr2bl w:val="single" w:color="000000" w:sz="4"/>
            </w:tcBorders>
            <w:shd w:val="clear" w:color="FFFFFF" w:fill="FFFFFF"/>
          </w:tcPr>
          <w:p>
            <w:pPr>
              <w:jc w:val="right"/>
              <w:spacing w:lineRule="auto" w:line="240" w:after="0"/>
              <w:rPr>
                <w:b w:val="0"/>
                <w:sz w:val="20"/>
                <w:szCs w:val="20"/>
                <w:rFonts w:ascii="돋움" w:eastAsia="돋움" w:hAnsi="돋움" w:cs="돋움"/>
                <w:lang w:eastAsia="ko-KR"/>
              </w:rPr>
            </w:pPr>
          </w:p>
        </w:tc>
      </w:tr>
    </w:tbl>
    <w:p>
      <w:pPr>
        <w:jc w:val="center"/>
        <w:spacing w:lineRule="auto" w:line="259"/>
        <w:rPr>
          <w:b w:val="1"/>
          <w:color w:val="auto"/>
          <w:sz w:val="24"/>
          <w:szCs w:val="24"/>
          <w:rFonts w:ascii="THE렛츠스마일L" w:eastAsia="THE렛츠스마일L" w:hAnsi="THE렛츠스마일L" w:cs="THE렛츠스마일L"/>
          <w:lang w:eastAsia="ko-KR"/>
        </w:rPr>
      </w:pPr>
    </w:p>
    <w:p>
      <w:pPr>
        <w:jc w:val="center"/>
        <w:spacing w:lineRule="auto" w:line="259"/>
        <w:rPr>
          <w:color w:val="auto"/>
          <w:sz w:val="24"/>
          <w:szCs w:val="24"/>
          <w:rFonts w:ascii="THE렛츠스마일L" w:eastAsia="THE렛츠스마일L" w:hAnsi="THE렛츠스마일L" w:cs="THE렛츠스마일L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권새연</dc:creator>
  <cp:lastModifiedBy>권새연</cp:lastModifiedBy>
  <cp:version>9.101.23.39576</cp:version>
</cp:coreProperties>
</file>