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Figure 1.1 – Technique advantages and disadvantages table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Figure 2.1.1 – link to presentation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Figure 2.1.2 – Link to presentation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Figure 2.2.1 Elicitation presentation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Figure 2.2.2 Elicitation presentation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Figure 2.2.3 Elicitation presentation 2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Figure 2.2.4 Elicitation presentation 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Figure 2.3.1.1 RMS comparable systems table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Figure 2.3.2.1.1 Website comparable systems – Whipsnade website page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Figure 2.3.2.1.2 Website comparable systems – Whipsnade attributes table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Figure 2.3.2.2.1 Website comparable systems – Colchester Zoo website page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Figure 2.3.2.2.2 Website comparable systems – Colchester Zoo website page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Figure 2.3.2.2.3 Website comparable systems – Colchester Zoo attributes table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Figure 2.3.2.3.1 Website comparable systems – ZSL London Zoo website page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Figure 2.3.2.3.2 Website comparable systems – ZSL London Zoo attributes table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Figure 2.3.2.4 Website comparable systems – Features table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Figure 2.3.3.1 Kiosk comparable systems - Systems analysis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Figure 2.3.3.2 Kiosk comparable systems - Design comparison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Figure 2.4.1 Visitor Questionnaire - Blank version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Figure 2.4.1 Visitor Questionnaire - Email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Figure 2.4.3 Visitor Questionnaire - Results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Figure 2.4.4 Visitor Questionaire - Analysis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Figure 2.4.5 Animal life cycle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Figure 2.4.6 Existing business limitations table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Figure 2.5.1.1 Accessibility table RMS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Figure 2.5.2.1 Attributes table login table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Figure 2.5.2.2 Animal records table layout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Figure 2.5.2.3.1 Bird attributes table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Figure 2.5.2.3.2 Fish attributes table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Figure 2.5.2.3.3 Reptiles’ amphibians attributes table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Figure 2.5.2.3.4 Mammals attributes table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Figure 2.5.2.3.5 Sponsorship attributes table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Figure 2.5.2.3.6 Membership attributes table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Figure 2.5.2.3.7 Input messages table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Figure 2.5.2.3.8 Animal page attributes table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Figure 2.5.2.3.9 Animal page 2 attributes table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Figure 2.5.3.1 Add new document flowchart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Figure 2.5.3.2 View animal file flow chart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Figure 2.5.4.1 Reset password email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Figure 2.5.4.2 Customer question email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Figure 2.6.1 Accessibility table website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Figure 2.6.2 Becoming a membership flow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Figure 2.6.3.1 Newsletter confirmation sign up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Figure 2.6.3.2 Ticket confirmation email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Figure 2.7.1.1 Payment kiosk flowcharts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Figure 2.7.1.2 Shopping kiosk flowchart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Figure 2.7.1.3 Mobile app flowchart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Figure 2.7.2 Accessibility table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Figure 2.8 Estimated cost calculations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