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1F2D5C"/>
          <w:sz w:val="26"/>
          <w:szCs w:val="26"/>
        </w:rPr>
        <w:t xml:space="preserve">Universidad Mariano Gálvez de Guatemala</w:t>
      </w:r>
    </w:p>
    <w:p>
      <w:r>
        <w:rPr>
          <w:rFonts w:ascii="Calibri" w:cs="Calibri" w:eastAsia="Calibri" w:hAnsi="Calibri"/>
          <w:color w:val="5F6B7E"/>
          <w:sz w:val="22"/>
          <w:szCs w:val="22"/>
        </w:rPr>
        <w:t xml:space="preserve">Centro Universitario de Cuilapa, Santa Rosa</w:t>
      </w:r>
    </w:p>
    <w:p>
      <w:r>
        <w:rPr>
          <w:rFonts w:ascii="Calibri" w:cs="Calibri" w:eastAsia="Calibri" w:hAnsi="Calibri"/>
          <w:color w:val="5F6B7E"/>
          <w:sz w:val="22"/>
          <w:szCs w:val="22"/>
        </w:rPr>
        <w:t xml:space="preserve">Ingeniería en Sistemas de Información y Ciencias de la Computación</w:t>
      </w:r>
    </w:p>
    <w:p>
      <w:pPr>
        <w:spacing w:after="1400"/>
      </w:pPr>
      <w:r>
        <w:rPr>
          <w:rFonts w:ascii="Calibri" w:cs="Calibri" w:eastAsia="Calibri" w:hAnsi="Calibri"/>
          <w:color w:val="5F6B7E"/>
          <w:sz w:val="22"/>
          <w:szCs w:val="22"/>
        </w:rPr>
        <w:t xml:space="preserve">Curso: Desarrollo Web · Catedrático: M.A. Ing. Elvis Morales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E3A72F"/>
          <w:sz w:val="30"/>
          <w:szCs w:val="30"/>
        </w:rPr>
        <w:t xml:space="preserve">La Promesa ERP</w:t>
      </w:r>
    </w:p>
    <w:p>
      <w:pPr>
        <w:pBdr>
          <w:bottom w:val="single" w:color="E3A72F" w:sz="18" w:space="8"/>
        </w:pBdr>
        <w:spacing w:after="120"/>
      </w:pPr>
      <w:r>
        <w:rPr>
          <w:rFonts w:ascii="Calibri" w:cs="Calibri" w:eastAsia="Calibri" w:hAnsi="Calibri"/>
          <w:b/>
          <w:bCs/>
          <w:color w:val="1F2D5C"/>
          <w:sz w:val="60"/>
          <w:szCs w:val="60"/>
        </w:rPr>
        <w:t xml:space="preserve">Manual de usuario</w:t>
      </w:r>
    </w:p>
    <w:p>
      <w:pPr>
        <w:spacing w:after="1400"/>
      </w:pPr>
      <w:r>
        <w:rPr>
          <w:rFonts w:ascii="Calibri" w:cs="Calibri" w:eastAsia="Calibri" w:hAnsi="Calibri"/>
          <w:color w:val="1C2333"/>
          <w:sz w:val="28"/>
          <w:szCs w:val="28"/>
        </w:rPr>
        <w:t xml:space="preserve">Guía ilustrada de los módulos Proveedores y Compras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D5C"/>
          <w:sz w:val="22"/>
          <w:szCs w:val="22"/>
        </w:rPr>
        <w:t xml:space="preserve">Módulos: 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Proveedores y Compras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D5C"/>
          <w:sz w:val="22"/>
          <w:szCs w:val="22"/>
        </w:rPr>
        <w:t xml:space="preserve">Proceso integrado: 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Orden de compra → recepción → inventario → cuenta por pagar → pago bancario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D5C"/>
          <w:sz w:val="22"/>
          <w:szCs w:val="22"/>
        </w:rPr>
        <w:t xml:space="preserve">Integración externa: 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API de pagos bancarios (BancoSimulado.API)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D5C"/>
          <w:sz w:val="22"/>
          <w:szCs w:val="22"/>
        </w:rPr>
        <w:t xml:space="preserve">Responsable: 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Betty Sarai Parada Pineda — 7490-23-7697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D5C"/>
          <w:sz w:val="22"/>
          <w:szCs w:val="22"/>
        </w:rPr>
        <w:t xml:space="preserve">Versión: 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1.0 · 24 de octubre de 2026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D5C"/>
          <w:sz w:val="36"/>
          <w:szCs w:val="36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Si el índice aparece vacío, en Word haga clic derecho sobre él → Actualizar campos.</w:t>
      </w:r>
    </w:p>
    <w:p>
      <w:pPr>
        <w:pStyle w:val="Heading1"/>
      </w:pPr>
      <w:r>
        <w:t xml:space="preserve">1. Bienvenida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Este manual explica, paso a paso y con imágenes, cómo usar los módulos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Proveedores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Compras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de La Promesa ERP: registrar proveedores, pedir mercadería, aprobarla, recibirla en bodega, pagar a los proveedores y consultar los reportes.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El sistema se abre en el navegador (Chrome, Edge o Brave) en la dirección que le indique el administrador. En el ambiente local es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http://localhost:5173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pStyle w:val="Heading2"/>
      </w:pPr>
      <w:r>
        <w:t xml:space="preserve">1.1 ¿Qué puede hacer cada rol?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2"/>
        <w:gridCol w:w="2191"/>
        <w:gridCol w:w="5377"/>
      </w:tblGrid>
      <w:tr>
        <w:trPr>
          <w:tblHeader/>
        </w:trP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de prueba</w:t>
            </w:r>
          </w:p>
        </w:tc>
        <w:tc>
          <w:tcPr>
            <w:tcW w:type="dxa" w:w="537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Puede</w:t>
            </w:r>
          </w:p>
        </w:tc>
      </w:tr>
      <w:t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</w:t>
            </w:r>
          </w:p>
        </w:tc>
        <w:tc>
          <w:tcPr>
            <w:tcW w:type="dxa" w:w="537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Todo el módulo.</w:t>
            </w:r>
          </w:p>
        </w:tc>
      </w:tr>
      <w:t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Compras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sara.compras</w:t>
            </w:r>
          </w:p>
        </w:tc>
        <w:tc>
          <w:tcPr>
            <w:tcW w:type="dxa" w:w="537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Registrar y editar proveedores; crear y editar órdenes de compra; ver reportes.</w:t>
            </w:r>
          </w:p>
        </w:tc>
      </w:tr>
      <w:t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Gerente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gerente.general</w:t>
            </w:r>
          </w:p>
        </w:tc>
        <w:tc>
          <w:tcPr>
            <w:tcW w:type="dxa" w:w="537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Aprobar y anular órdenes; inactivar y reactivar proveedores; ver finanzas y reportes.</w:t>
            </w:r>
          </w:p>
        </w:tc>
      </w:tr>
      <w:t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Bodega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bodega.central</w:t>
            </w:r>
          </w:p>
        </w:tc>
        <w:tc>
          <w:tcPr>
            <w:tcW w:type="dxa" w:w="537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Recibir mercadería de órdenes aprobadas.</w:t>
            </w:r>
          </w:p>
        </w:tc>
      </w:tr>
      <w:t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Tesorería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tesoreria</w:t>
            </w:r>
          </w:p>
        </w:tc>
        <w:tc>
          <w:tcPr>
            <w:tcW w:type="dxa" w:w="537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Pagar cuentas por pagar y revisar transferencias pendientes; ver reportes.</w:t>
            </w:r>
          </w:p>
        </w:tc>
      </w:tr>
      <w:t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Consulta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consulta</w:t>
            </w:r>
          </w:p>
        </w:tc>
        <w:tc>
          <w:tcPr>
            <w:tcW w:type="dxa" w:w="537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Solo ver información y reportes, sin modificar nada.</w:t>
            </w:r>
          </w:p>
        </w:tc>
      </w:tr>
    </w:tbl>
    <w:p>
      <w:pPr>
        <w:spacing w:after="160"/>
      </w:pPr>
    </w:p>
    <w:p>
      <w:pPr>
        <w:pBdr>
          <w:left w:val="single" w:color="2C66A8" w:sz="24" w:space="8"/>
        </w:pBdr>
        <w:shd w:fill="E3EEFA" w:color="auto" w:val="clear"/>
        <w:spacing w:after="160" w:before="80" w:line="276"/>
        <w:ind w:left="160" w:right="160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El menú y los botones cambian según su rol. Si una opción no aparece, es porque su rol no tiene ese permiso.</w:t>
      </w:r>
    </w:p>
    <w:p>
      <w:pPr>
        <w:pStyle w:val="Heading2"/>
      </w:pPr>
      <w:r>
        <w:t xml:space="preserve">1.2 El recorrido de una compra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Cada compra pasa por cuatro personas. El sistema muestra este recorrido en el detalle de cada orden: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Compras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crea la orden de compra (queda *Pendiente*).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Gerencia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la revisa y la aprueba (queda *Aprobada*).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Bodega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recibe la mercadería con la factura del proveedor (queda *Parcial* o *Recibida*). En ese momento se suman las existencias y se genera la cuenta por pagar.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Tesorería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paga la cuenta; si es transferencia, el banco la confirma.</w:t>
      </w:r>
    </w:p>
    <w:p>
      <w:pPr>
        <w:pStyle w:val="Heading1"/>
        <w:pageBreakBefore/>
      </w:pPr>
      <w:r>
        <w:t xml:space="preserve">2. Ingresar y salir del sistema</w:t>
      </w:r>
    </w:p>
    <w:p>
      <w:pPr>
        <w:pStyle w:val="Heading2"/>
      </w:pPr>
      <w:r>
        <w:t xml:space="preserve">2.1 Iniciar sesión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Abra el sistema en el navegador.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Escriba su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usuario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y su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contraseña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Con el ícono del ojo puede ver lo que escribió.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Presione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Ingresar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01_login.jpg" descr="Pantalla de inicio de sesión." title="Pantalla de inicio de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Pantalla de inicio de sesión.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Si deja campos vacíos o los datos no son correctos, el sistema se lo indica. Después de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5 intentos fallidos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el usuario se bloquea por 15 minutos.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52975" cy="2971800"/>
            <wp:effectExtent t="0" r="0" b="0" l="0"/>
            <wp:docPr id="1" name="03_login_credenciales_invalidas.jpg" descr="Mensaje cuando el usuario o la contraseña no son correctos." title="Mensaje cuando el usuario o la contraseña no son correc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2.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Mensaje cuando el usuario o la contraseña no son correctos.</w:t>
      </w:r>
    </w:p>
    <w:p>
      <w:pPr>
        <w:pStyle w:val="Heading2"/>
      </w:pPr>
      <w:r>
        <w:t xml:space="preserve">2.2 Pantalla de inicio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Al entrar verá un resumen con datos reales: proveedores activos, órdenes por aprobar, entregas atrasadas y cuentas vencidas. Debajo aparece lo que requiere su atención según su rol (por ejemplo, el Gerente ve las órdenes esperando aprobación y Bodega la mercadería por recibir). Haga clic en cualquier fila para ir directo a ella.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19_rol_gerente_inicio.jpg" descr="Inicio del rol Gerente con las órdenes que esperan su aprobación." title="Inicio del rol Gerente con las órdenes que esperan su aprob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3.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Inicio del rol Gerente con las órdenes que esperan su aprobación.</w:t>
      </w:r>
    </w:p>
    <w:p>
      <w:pPr>
        <w:pStyle w:val="Heading2"/>
      </w:pPr>
      <w:r>
        <w:t xml:space="preserve">2.3 Cerrar sesión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Use el botón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Cerrar sesión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al pie del menú izquierdo. Si deja el sistema abierto mucho tiempo, la sesión se renueva sola mientras la use; si vence, el sistema le pedirá ingresar de nuevo.</w:t>
      </w:r>
    </w:p>
    <w:p>
      <w:pPr>
        <w:pStyle w:val="Heading1"/>
        <w:pageBreakBefore/>
      </w:pPr>
      <w:r>
        <w:t xml:space="preserve">3. Proveedores</w:t>
      </w:r>
    </w:p>
    <w:p>
      <w:pPr>
        <w:pStyle w:val="Heading2"/>
      </w:pPr>
      <w:r>
        <w:t xml:space="preserve">3.1 Consultar y buscar proveedores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En el menú elija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Proveedores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Escriba en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Buscar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parte del nombre, NIT, contacto o código: la lista se filtra mientras escribe.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Combine filtros de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Estado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Tipo de pago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Categoría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Haga clic en el título de una columna para ordenar (otra vez para invertir el orden).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Use los números de página al pie para avanzar.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4543425"/>
            <wp:effectExtent t="0" r="0" b="0" l="0"/>
            <wp:docPr id="1" name="06_proveedores_consultar.jpg" descr="Listado de proveedores con búsqueda, filtros, orden y paginación." title="Listado de proveedores con búsqueda, filtros, orden y pagin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4.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Listado de proveedores con búsqueda, filtros, orden y paginación.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07_proveedores_busqueda_texto.jpg" descr="Búsqueda por texto: solo aparecen las coincidencias." title="Búsqueda por texto: solo aparecen las coincidenci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5.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Búsqueda por texto: solo aparecen las coincidencias.</w:t>
      </w:r>
    </w:p>
    <w:p>
      <w:pPr>
        <w:pStyle w:val="Heading2"/>
      </w:pPr>
      <w:r>
        <w:t xml:space="preserve">3.2 Agregar un proveedor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Presione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Agregar proveedor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Complete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Datos generales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: nombre, NIT (con dígito verificador, por ejemplo 1234567-9), categoría, departamento y dirección. Si la categoría no existe, use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Crear otra categoría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Complete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Contacto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: persona, teléfono de 8 dígitos y correo.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Condiciones de pago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elija *Contado* o *Crédito*. Para crédito indique los días (1 a 180) y el límite.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Datos bancarios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registre banco y número de cuenta (se usan para pagar por transferencia).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Presione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Agregar proveedor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El sistema le asigna un código PR###.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4886325"/>
            <wp:effectExtent t="0" r="0" b="0" l="0"/>
            <wp:docPr id="1" name="10_proveedor_agregar_formulario.jpg" descr="Formulario para agregar un proveedor." title="Formulario para agregar un provee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6.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Formulario para agregar un proveedor.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Si algún dato no es válido, el campo se marca en rojo con la explicación y no se guarda nada hasta corregirlo: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4505325"/>
            <wp:effectExtent t="0" r="0" b="0" l="0"/>
            <wp:docPr id="1" name="09_proveedor_validaciones_frontend.jpg" descr="Validaciones del formulario: nombre, NIT, categoría, teléfono y correo." title="Validaciones del formulario: nombre, NIT, categoría, teléfono y corre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7.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Validaciones del formulario: nombre, NIT, categoría, teléfono y correo.</w:t>
      </w:r>
    </w:p>
    <w:p>
      <w:pPr>
        <w:pBdr>
          <w:left w:val="single" w:color="E3A72F" w:sz="24" w:space="8"/>
        </w:pBdr>
        <w:shd w:fill="FBF0D6" w:color="auto" w:val="clear"/>
        <w:spacing w:after="160" w:before="80" w:line="276"/>
        <w:ind w:left="160" w:right="160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El NIT no puede repetirse. Si ya existe, el sistema muestra "Ya existe un proveedor registrado con ese NIT."</w:t>
      </w:r>
    </w:p>
    <w:p>
      <w:pPr>
        <w:pStyle w:val="Heading2"/>
      </w:pPr>
      <w:r>
        <w:t xml:space="preserve">3.3 Ver el detalle de un proveedor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Haga clic en el nombre del proveedor. Verá su saldo por pagar, crédito disponible, órdenes abiertas, porcentaje de entregas a tiempo, sus últimas órdenes, sus cuentas por pagar y quién lo registró o modificó.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4914900"/>
            <wp:effectExtent t="0" r="0" b="0" l="0"/>
            <wp:docPr id="1" name="11_proveedor_agregado_detalle.jpg" descr="Detalle del proveedor recién agregado." title="Detalle del proveedor recién agreg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8.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Detalle del proveedor recién agregado.</w:t>
      </w:r>
    </w:p>
    <w:p>
      <w:pPr>
        <w:pStyle w:val="Heading2"/>
      </w:pPr>
      <w:r>
        <w:t xml:space="preserve">3.4 Editar un proveedor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En el detalle (o con el ícono del lápiz en la lista) presione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Editar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, cambie los datos y presione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Guardar cambios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Si otra persona modificó el mismo proveedor mientras usted editaba, el sistema se lo avisa para que recargue y no se pierdan cambios.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4886325"/>
            <wp:effectExtent t="0" r="0" b="0" l="0"/>
            <wp:docPr id="1" name="13_proveedor_editar.jpg" descr="Edición de un proveedor (cambio de días de crédito)." title="Edición de un proveedor (cambio de días de crédit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9.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Edición de un proveedor (cambio de días de crédito).</w:t>
      </w:r>
    </w:p>
    <w:p>
      <w:pPr>
        <w:pStyle w:val="Heading2"/>
      </w:pPr>
      <w:r>
        <w:t xml:space="preserve">3.5 Inactivar (eliminar) y reactivar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Los proveedores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no se borran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: se inactivan con un motivo, y quedan registrados la fecha y el usuario. Presione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Inactivar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, escriba el motivo (mínimo 10 caracteres) y confirme. No se puede inactivar a un proveedor con órdenes abiertas o saldo pendiente. Para volver a usarlo, presione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Reactivar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37_proveedor_inactivar_regla_negocio.jpg" descr="El sistema impide inactivar a un proveedor con órdenes abiertas." title="El sistema impide inactivar a un proveedor con órdenes abier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10.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El sistema impide inactivar a un proveedor con órdenes abiertas.</w:t>
      </w:r>
    </w:p>
    <w:p>
      <w:pPr>
        <w:pStyle w:val="Heading1"/>
        <w:pageBreakBefore/>
      </w:pPr>
      <w:r>
        <w:t xml:space="preserve">4. Órdenes de compra</w:t>
      </w:r>
    </w:p>
    <w:p>
      <w:pPr>
        <w:pStyle w:val="Heading2"/>
      </w:pPr>
      <w:r>
        <w:t xml:space="preserve">4.1 Consultar órdenes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Órdenes de compra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use las pestañas para ver por estado (Pendiente, Aprobada, Parcial, Recibida, Anulada) y los filtros de proveedor, bodega, fechas o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Solo atrasadas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La columna *Recibido* muestra el avance de cada orden.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4610100"/>
            <wp:effectExtent t="0" r="0" b="0" l="0"/>
            <wp:docPr id="1" name="17_ordenes_consultar.jpg" descr="Listado de órdenes de compra con pestañas de estado y filtros." title="Listado de órdenes de compra con pestañas de estado y filtr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11.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Listado de órdenes de compra con pestañas de estado y filtros.</w:t>
      </w:r>
    </w:p>
    <w:p>
      <w:pPr>
        <w:pStyle w:val="Heading2"/>
      </w:pPr>
      <w:r>
        <w:t xml:space="preserve">4.2 Crear una orden de compra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Presione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Nueva orden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(o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Nueva orden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desde el detalle del proveedor).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Elija el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proveedor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, la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bodega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que recibirá la mercadería y la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fecha esperada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de entrega.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Productos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elija cada producto, la cantidad y el costo unitario. Use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Agregar producto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para más líneas; un producto no se puede repetir.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Revise el subtotal, el IVA (12 %) y el total estimado.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Presione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Crear orden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Queda *Pendiente* de aprobación.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4162425"/>
            <wp:effectExtent t="0" r="0" b="0" l="0"/>
            <wp:docPr id="1" name="15_orden_agregar_formulario.jpg" descr="Formulario de nueva orden de compra con dos productos." title="Formulario de nueva orden de compra con dos produc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12.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Formulario de nueva orden de compra con dos productos.</w:t>
      </w:r>
    </w:p>
    <w:p>
      <w:pPr>
        <w:pStyle w:val="Heading2"/>
      </w:pPr>
      <w:r>
        <w:t xml:space="preserve">4.3 Editar una orden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Solo las órdenes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Pendientes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se pueden editar. Abra la orden y presione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Editar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Una vez aprobada, sus datos quedan congelados.</w:t>
      </w:r>
    </w:p>
    <w:p>
      <w:pPr>
        <w:pStyle w:val="Heading2"/>
      </w:pPr>
      <w:r>
        <w:t xml:space="preserve">4.4 Aprobar una orden (Gerente)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Abra la orden pendiente y presione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Aprobar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Revise el proveedor, el total y la fecha de entrega en la ventana de confirmación y presione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Aprobar orden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Por control interno,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quien creó la orden no puede aprobarla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20_orden_aprobar_confirmacion.jpg" descr="Confirmación antes de aprobar una orden." title="Confirmación antes de aprobar una ord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13.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Confirmación antes de aprobar una orden.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4724400"/>
            <wp:effectExtent t="0" r="0" b="0" l="0"/>
            <wp:docPr id="1" name="21_orden_aprobada.jpg" descr="Orden aprobada: el recorrido marca el paso y el historial registra quién aprobó." title="Orden aprobada: el recorrido marca el paso y el historial registra quién aprobó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14.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Orden aprobada: el recorrido marca el paso y el historial registra quién aprobó.</w:t>
      </w:r>
    </w:p>
    <w:p>
      <w:pPr>
        <w:pStyle w:val="Heading2"/>
      </w:pPr>
      <w:r>
        <w:t xml:space="preserve">4.5 Anular (eliminar) una orden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Las órdenes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no se borran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: se anulan con motivo. Solo se pueden anular órdenes Pendientes o Aprobadas que todavía no tengan recepciones. Presione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Anular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, escriba el motivo y confirme.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5019675"/>
            <wp:effectExtent t="0" r="0" b="0" l="0"/>
            <wp:docPr id="1" name="36_orden_anulada_trazabilidad.jpg" descr="Orden anulada: se conserva con su motivo, usuario y fecha." title="Orden anulada: se conserva con su motivo, usuario y fec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15.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Orden anulada: se conserva con su motivo, usuario y fecha.</w:t>
      </w:r>
    </w:p>
    <w:p>
      <w:pPr>
        <w:pStyle w:val="Heading1"/>
        <w:pageBreakBefore/>
      </w:pPr>
      <w:r>
        <w:t xml:space="preserve">5. Recibir mercadería (Bodega)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Este es el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proceso integrado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: con una sola confirmación el sistema registra la nota de compra, suma las existencias en la bodega y genera la cuenta por pagar al proveedor.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En Inicio, en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Mercadería por recibir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, haga clic en la orden (o abra la orden y presione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Recibir mercadería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Escriba la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serie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y el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número de factura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del proveedor y la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fecha de recepción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En cada producto escriba la cantidad que llegó. Si llegó todo, deje la cantidad pendiente; desmarque los productos que no llegaron.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Lea el recuadro *Al confirmar* y presione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Confirmar recepción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4295775"/>
            <wp:effectExtent t="0" r="0" b="0" l="0"/>
            <wp:docPr id="1" name="24_recepcion_formulario.jpg" descr="Recepción parcial: llegaron 30 de 50 unidades del primer producto." title="Recepción parcial: llegaron 30 de 50 unidades del primer produ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16.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Recepción parcial: llegaron 30 de 50 unidades del primer producto.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25_recepcion_resultado_proceso.jpg" descr="Resultado del proceso: nota de compra, inventario, cuenta por pagar y cumplimiento." title="Resultado del proceso: nota de compra, inventario, cuenta por pagar y cumplimi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17.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Resultado del proceso: nota de compra, inventario, cuenta por pagar y cumplimiento.</w:t>
      </w:r>
    </w:p>
    <w:p>
      <w:pPr>
        <w:pBdr>
          <w:left w:val="single" w:color="E3A72F" w:sz="24" w:space="8"/>
        </w:pBdr>
        <w:shd w:fill="FBF0D6" w:color="auto" w:val="clear"/>
        <w:spacing w:after="160" w:before="80" w:line="276"/>
        <w:ind w:left="160" w:right="160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No se puede recibir más de lo pendiente ni repetir una factura del mismo proveedor. Si la orden queda con producto pendiente pasa a *Parcial* y se puede volver a recibir.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5048250"/>
            <wp:effectExtent t="0" r="0" b="0" l="0"/>
            <wp:docPr id="1" name="26_orden_parcial_recorrido.jpg" descr="La orden queda en estado Parcial con su recepción e historial." title="La orden queda en estado Parcial con su recepción e histor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18.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La orden queda en estado Parcial con su recepción e historial.</w:t>
      </w:r>
    </w:p>
    <w:p>
      <w:pPr>
        <w:pStyle w:val="Heading2"/>
      </w:pPr>
      <w:r>
        <w:t xml:space="preserve">5.1 Consultar recepciones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Recepciones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verá todas las notas de compra con su cumplimiento: *A tiempo*, *Anticipada* o *Con retraso* según la fecha esperada.</w:t>
      </w:r>
    </w:p>
    <w:p>
      <w:pPr>
        <w:pStyle w:val="Heading1"/>
        <w:pageBreakBefore/>
      </w:pPr>
      <w:r>
        <w:t xml:space="preserve">6. Cuentas por pagar y pagos (Tesorería)</w:t>
      </w:r>
    </w:p>
    <w:p>
      <w:pPr>
        <w:pStyle w:val="Heading2"/>
      </w:pPr>
      <w:r>
        <w:t xml:space="preserve">6.1 Consultar cuentas por pagar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Cuentas por pagar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filtre por proveedor, estado, fechas de vencimiento o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Solo vencidas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Cada fila indica el saldo, los días vencidos y el botón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Pagar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4105275"/>
            <wp:effectExtent t="0" r="0" b="0" l="0"/>
            <wp:docPr id="1" name="33_cuentas_por_pagar_consultar.jpg" descr="Listado de cuentas por pagar con saldos y vencimientos." title="Listado de cuentas por pagar con saldos y vencimien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19.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Listado de cuentas por pagar con saldos y vencimientos.</w:t>
      </w:r>
    </w:p>
    <w:p>
      <w:pPr>
        <w:pStyle w:val="Heading2"/>
      </w:pPr>
      <w:r>
        <w:t xml:space="preserve">6.2 Registrar un pago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Abra la cuenta y vaya a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Registrar pago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Elija el método: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Transferencia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(se envía al banco),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Cheque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(requiere número de cheque) o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Efectivo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Escriba el monto (no puede superar el saldo disponible). Para transferencia, el banco y la cuenta del proveedor ya aparecen.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Presione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Pagar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En transferencias espere la respuesta del banco.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3943350"/>
            <wp:effectExtent t="0" r="0" b="0" l="0"/>
            <wp:docPr id="1" name="29_pago_formulario_transferencia.jpg" descr="Formulario de pago por transferencia." title="Formulario de pago por transfere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20.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Formulario de pago por transferencia.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4029075"/>
            <wp:effectExtent t="0" r="0" b="0" l="0"/>
            <wp:docPr id="1" name="30_pago_transferencia_aprobada.jpg" descr="Pago aprobado por el banco con su número de autorización." title="Pago aprobado por el banco con su número de autoriz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21.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Pago aprobado por el banco con su número de autorización.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Si el banco rechaza la transferencia (por ejemplo, cuenta inexistente), el pago queda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Rechazado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con el motivo y el saldo no cambia: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4286250"/>
            <wp:effectExtent t="0" r="0" b="0" l="0"/>
            <wp:docPr id="1" name="31_pago_transferencia_rechazada.jpg" descr="Transferencia rechazada por el banco." title="Transferencia rechazada por el ban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22.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Transferencia rechazada por el banco.</w:t>
      </w:r>
    </w:p>
    <w:p>
      <w:pPr>
        <w:pStyle w:val="Heading2"/>
      </w:pPr>
      <w:r>
        <w:t xml:space="preserve">6.3 Pagos en revisión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Si el banco no respondió (por ejemplo, sin conexión), el pago queda *Pendiente* y aparece en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Pagos en revisión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Presione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Consultar al banco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para obtener el resultado. Reintentar nunca duplica el pago.</w:t>
      </w:r>
    </w:p>
    <w:p>
      <w:pPr>
        <w:pStyle w:val="Heading1"/>
        <w:pageBreakBefore/>
      </w:pPr>
      <w:r>
        <w:t xml:space="preserve">7. Reportes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Reportes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elija uno de los tres reportes, ajuste los filtros y presione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Generar reporte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Cada reporte muestra totales, un resumen por proveedor y el detalle. Use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Descargar CSV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para abrirlo en Excel o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Imprimir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para imprimirlo o guardarlo como PDF.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0"/>
        <w:gridCol w:w="4381"/>
        <w:gridCol w:w="2589"/>
      </w:tblGrid>
      <w:tr>
        <w:trPr>
          <w:tblHeader/>
        </w:trPr>
        <w:tc>
          <w:tcPr>
            <w:tcW w:type="dxa" w:w="23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Reporte</w:t>
            </w:r>
          </w:p>
        </w:tc>
        <w:tc>
          <w:tcPr>
            <w:tcW w:type="dxa" w:w="43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Filtros</w:t>
            </w:r>
          </w:p>
        </w:tc>
      </w:tr>
      <w:tr>
        <w:tc>
          <w:tcPr>
            <w:tcW w:type="dxa" w:w="23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Compras por proveedor</w:t>
            </w:r>
          </w:p>
        </w:tc>
        <w:tc>
          <w:tcPr>
            <w:tcW w:type="dxa" w:w="43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Cuánto se ordenó y recibió de cada proveedor y su participación.</w:t>
            </w:r>
          </w:p>
        </w:tc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Período, proveedor, categoría, bodega, estado, incluir anuladas</w:t>
            </w:r>
          </w:p>
        </w:tc>
      </w:tr>
      <w:tr>
        <w:tc>
          <w:tcPr>
            <w:tcW w:type="dxa" w:w="23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Cumplimiento de entregas</w:t>
            </w:r>
          </w:p>
        </w:tc>
        <w:tc>
          <w:tcPr>
            <w:tcW w:type="dxa" w:w="43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Qué proveedores entregan a tiempo, antes o con retraso, con calificación.</w:t>
            </w:r>
          </w:p>
        </w:tc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Período, proveedor, categoría</w:t>
            </w:r>
          </w:p>
        </w:tc>
      </w:tr>
      <w:tr>
        <w:tc>
          <w:tcPr>
            <w:tcW w:type="dxa" w:w="23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Antigüedad de cuentas por pagar</w:t>
            </w:r>
          </w:p>
        </w:tc>
        <w:tc>
          <w:tcPr>
            <w:tcW w:type="dxa" w:w="43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Saldos por vencer y vencidos (1–30, 31–60, 61–90, +90 días).</w:t>
            </w:r>
          </w:p>
        </w:tc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Fecha de corte, proveedor, categoría, incluir pagadas</w:t>
            </w:r>
          </w:p>
        </w:tc>
      </w:tr>
    </w:tbl>
    <w:p>
      <w:pPr>
        <w:spacing w:after="1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6048375"/>
            <wp:effectExtent t="0" r="0" b="0" l="0"/>
            <wp:docPr id="1" name="38_reporte_compras_por_proveedor.jpg" descr="Reporte de compras por proveedor." title="Reporte de compras por provee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23.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Reporte de compras por proveedor.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6048375"/>
            <wp:effectExtent t="0" r="0" b="0" l="0"/>
            <wp:docPr id="1" name="39_reporte_cumplimiento_entregas.jpg" descr="Reporte de cumplimiento de entregas." title="Reporte de cumplimiento de entreg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24.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Reporte de cumplimiento de entregas.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6048375"/>
            <wp:effectExtent t="0" r="0" b="0" l="0"/>
            <wp:docPr id="1" name="40_reporte_antiguedad_cuentas.jpg" descr="Reporte de antigüedad de cuentas por pagar." title="Reporte de antigüedad de cuentas por pag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25.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Reporte de antigüedad de cuentas por pagar.</w:t>
      </w:r>
    </w:p>
    <w:p>
      <w:pPr>
        <w:pStyle w:val="Heading1"/>
        <w:pageBreakBefore/>
      </w:pPr>
      <w:r>
        <w:t xml:space="preserve">8. Mensajes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7"/>
        <w:gridCol w:w="2987"/>
        <w:gridCol w:w="3386"/>
      </w:tblGrid>
      <w:tr>
        <w:trPr>
          <w:tblHeader/>
        </w:trPr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Usuario o contraseña incorrectos.</w:t>
            </w:r>
          </w:p>
        </w:tc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Los datos no coinciden.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Revise mayúsculas y vuelva a intentar.</w:t>
            </w:r>
          </w:p>
        </w:tc>
      </w:tr>
      <w:tr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Su sesión venció.</w:t>
            </w:r>
          </w:p>
        </w:tc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Pasó mucho tiempo sin actividad.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Ingrese de nuevo; volverá a la misma pantalla.</w:t>
            </w:r>
          </w:p>
        </w:tc>
      </w:tr>
      <w:tr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Esta sección no está disponible para su rol.</w:t>
            </w:r>
          </w:p>
        </w:tc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Su rol no tiene ese permiso.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Solicítelo al administrador.</w:t>
            </w:r>
          </w:p>
        </w:tc>
      </w:tr>
      <w:tr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El NIT no es válido.</w:t>
            </w:r>
          </w:p>
        </w:tc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El dígito verificador no corresponde.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Revise el NIT en la factura del proveedor.</w:t>
            </w:r>
          </w:p>
        </w:tc>
      </w:tr>
      <w:tr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Quien creó la orden no puede aprobarla.</w:t>
            </w:r>
          </w:p>
        </w:tc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Control de segregación de funciones.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Otra persona con rol Gerente debe aprobarla.</w:t>
            </w:r>
          </w:p>
        </w:tc>
      </w:tr>
      <w:tr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La cantidad recibida excede la pendiente.</w:t>
            </w:r>
          </w:p>
        </w:tc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 escribió más de lo que falta por recibir.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Corrija la cantidad.</w:t>
            </w:r>
          </w:p>
        </w:tc>
      </w:tr>
      <w:tr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El registro fue modificado por otro usuario.</w:t>
            </w:r>
          </w:p>
        </w:tc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Alguien cambió los datos al mismo tiempo.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Recargue la pantalla y repita el cambio.</w:t>
            </w:r>
          </w:p>
        </w:tc>
      </w:tr>
      <w:tr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fue posible comunicarse con la API.</w:t>
            </w:r>
          </w:p>
        </w:tc>
        <w:tc>
          <w:tcPr>
            <w:tcW w:type="dxa" w:w="2987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El servidor no responde.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Avise al administrador del sistema.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8.1 Uso en celular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El sistema se adapta a pantallas pequeñas: el menú se abre con el botón ☰ y las tablas se desplazan de lado.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190750" cy="5629275"/>
            <wp:effectExtent t="0" r="0" b="0" l="0"/>
            <wp:docPr id="1" name="44_vista_celular_orden.jpg" descr="Detalle de una orden en un celular." title="Detalle de una orden en un celul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26.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Detalle de una orden en un celular.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B7E"/>
        <w:sz w:val="17"/>
        <w:szCs w:val="17"/>
      </w:rPr>
      <w:t xml:space="preserve">Módulos Proveedores y Compras · Página </w:t>
    </w:r>
    <w:r>
      <w:rPr>
        <w:rFonts w:ascii="Calibri" w:cs="Calibri" w:eastAsia="Calibri" w:hAnsi="Calibri"/>
        <w:color w:val="5F6B7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CEDB" w:sz="4" w:space="4"/>
      </w:pBdr>
      <w:jc w:val="right"/>
    </w:pPr>
    <w:r>
      <w:rPr>
        <w:rFonts w:ascii="Calibri" w:cs="Calibri" w:eastAsia="Calibri" w:hAnsi="Calibri"/>
        <w:color w:val="5F6B7E"/>
        <w:sz w:val="17"/>
        <w:szCs w:val="17"/>
      </w:rPr>
      <w:t xml:space="preserve">La Promesa ERP · </w:t>
    </w:r>
    <w:r>
      <w:rPr>
        <w:rFonts w:ascii="Calibri" w:cs="Calibri" w:eastAsia="Calibri" w:hAnsi="Calibri"/>
        <w:b/>
        <w:bCs/>
        <w:color w:val="1F2D5C"/>
        <w:sz w:val="17"/>
        <w:szCs w:val="17"/>
      </w:rPr>
      <w:t xml:space="preserve">Manual de usuario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3A72F" w:sz="8" w:space="6"/>
      </w:pBdr>
      <w:spacing w:after="200" w:before="120"/>
      <w:outlineLvl w:val="0"/>
    </w:pPr>
    <w:rPr>
      <w:rFonts w:ascii="Calibri" w:cs="Calibri" w:eastAsia="Calibri" w:hAnsi="Calibri"/>
      <w:b/>
      <w:bCs/>
      <w:color w:val="1F2D5C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1F2D5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2B3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6e9efc2c76f10c7639eef2d3971a8cb614c5393f.jpg"/><Relationship Id="rId12" Type="http://schemas.openxmlformats.org/officeDocument/2006/relationships/image" Target="media/96c606381097409ae95559ec1cb4cae8a2234f2c.jpg"/><Relationship Id="rId13" Type="http://schemas.openxmlformats.org/officeDocument/2006/relationships/image" Target="media/a65824239bdd424cf270500f1b0ee7c0c40978de.jpg"/><Relationship Id="rId14" Type="http://schemas.openxmlformats.org/officeDocument/2006/relationships/image" Target="media/01c4f4b922bc95c09ede6055c17ce1674b8b72dc.jpg"/><Relationship Id="rId15" Type="http://schemas.openxmlformats.org/officeDocument/2006/relationships/image" Target="media/ce804939b6b71b1c5f59e4a0a964aa85e09268ca.jpg"/><Relationship Id="rId16" Type="http://schemas.openxmlformats.org/officeDocument/2006/relationships/image" Target="media/f30603d0bce26367ceb36f86a8bbe54591a88e52.jpg"/><Relationship Id="rId17" Type="http://schemas.openxmlformats.org/officeDocument/2006/relationships/image" Target="media/36c0becfe9f30aa934dae8589a938ac6ab376118.jpg"/><Relationship Id="rId18" Type="http://schemas.openxmlformats.org/officeDocument/2006/relationships/image" Target="media/9b5065746875e1fc8b86e457e8b3cd21961f6f90.jpg"/><Relationship Id="rId19" Type="http://schemas.openxmlformats.org/officeDocument/2006/relationships/image" Target="media/df67a361e142d16278cd465b54ecceb760242c1d.jpg"/><Relationship Id="rId20" Type="http://schemas.openxmlformats.org/officeDocument/2006/relationships/image" Target="media/54cbe9554bcd967b065548e4cc03b09526ed0866.jpg"/><Relationship Id="rId21" Type="http://schemas.openxmlformats.org/officeDocument/2006/relationships/image" Target="media/1aaff68bdd4db803f8f54572826f705aea6f7040.jpg"/><Relationship Id="rId22" Type="http://schemas.openxmlformats.org/officeDocument/2006/relationships/image" Target="media/f3394b927136e71ad7ba7ce7316d41b55bdc271c.jpg"/><Relationship Id="rId23" Type="http://schemas.openxmlformats.org/officeDocument/2006/relationships/image" Target="media/256c1fe1fefd28f83d04bc29cf3d1e0f0e9218e5.jpg"/><Relationship Id="rId24" Type="http://schemas.openxmlformats.org/officeDocument/2006/relationships/image" Target="media/d7662a141e4211494411d83a0a9a14ce48f09faf.jpg"/><Relationship Id="rId25" Type="http://schemas.openxmlformats.org/officeDocument/2006/relationships/image" Target="media/fc2635d57b11b6077ea8c3c1c2e8d9a6eaacb333.jpg"/><Relationship Id="rId26" Type="http://schemas.openxmlformats.org/officeDocument/2006/relationships/image" Target="media/e2a7a29b811455a6d9d1ab6ccd068df33737ab4a.jpg"/><Relationship Id="rId27" Type="http://schemas.openxmlformats.org/officeDocument/2006/relationships/image" Target="media/221d917afdf24975327c2d449ff2cadd1ca46c95.jpg"/><Relationship Id="rId28" Type="http://schemas.openxmlformats.org/officeDocument/2006/relationships/image" Target="media/dbb854a690742e827fa4762a8e8f0db9117775f5.jpg"/><Relationship Id="rId29" Type="http://schemas.openxmlformats.org/officeDocument/2006/relationships/image" Target="media/a6531f275a3f5cbcc4782ce0fc69900a77315384.jpg"/><Relationship Id="rId30" Type="http://schemas.openxmlformats.org/officeDocument/2006/relationships/image" Target="media/95735c37a2a9c811f7503b36ffb3888f75169f5d.jpg"/><Relationship Id="rId31" Type="http://schemas.openxmlformats.org/officeDocument/2006/relationships/image" Target="media/e096494ccd0558d7b84f4cffcc11c9e2e93af7e8.jpg"/><Relationship Id="rId32" Type="http://schemas.openxmlformats.org/officeDocument/2006/relationships/image" Target="media/474dbf152375c0ca23edf4eb0c5a93d9a200ba0e.jpg"/><Relationship Id="rId33" Type="http://schemas.openxmlformats.org/officeDocument/2006/relationships/image" Target="media/5965d8e350e026311354be5d765f88cd01d3ae07.jpg"/><Relationship Id="rId34" Type="http://schemas.openxmlformats.org/officeDocument/2006/relationships/image" Target="media/96491cc4ddfe83864ba663c09d8cd2979d682ff4.jpg"/><Relationship Id="rId35" Type="http://schemas.openxmlformats.org/officeDocument/2006/relationships/image" Target="media/3da610226d49d972f988eb4374d266abc3d39c0e.jpg"/><Relationship Id="rId36" Type="http://schemas.openxmlformats.org/officeDocument/2006/relationships/image" Target="media/586d43ecef41fd4ad0a190c97c82b816a70fd90c.jp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La Promesa ERP</dc:creator>
  <dc:description>Manual de usuario</dc:description>
  <cp:lastModifiedBy>Un-named</cp:lastModifiedBy>
  <cp:revision>1</cp:revision>
  <dcterms:created xsi:type="dcterms:W3CDTF">2026-10-24T22:36:53.203Z</dcterms:created>
  <dcterms:modified xsi:type="dcterms:W3CDTF">2026-10-24T22:36:53.204Z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