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jc w:val="left"/>
      </w:pPr>
      <w:r>
        <w:rPr>
          <w:rFonts w:ascii="Calibri" w:cs="Calibri" w:eastAsia="Calibri" w:hAnsi="Calibri"/>
          <w:b/>
          <w:bCs/>
          <w:color w:val="1F2D5C"/>
          <w:sz w:val="26"/>
          <w:szCs w:val="26"/>
        </w:rPr>
        <w:t xml:space="preserve">Universidad Mariano Gálvez de Guatemala</w:t>
      </w:r>
    </w:p>
    <w:p>
      <w:r>
        <w:rPr>
          <w:rFonts w:ascii="Calibri" w:cs="Calibri" w:eastAsia="Calibri" w:hAnsi="Calibri"/>
          <w:color w:val="5F6B7E"/>
          <w:sz w:val="22"/>
          <w:szCs w:val="22"/>
        </w:rPr>
        <w:t xml:space="preserve">Centro Universitario de Cuilapa, Santa Rosa</w:t>
      </w:r>
    </w:p>
    <w:p>
      <w:r>
        <w:rPr>
          <w:rFonts w:ascii="Calibri" w:cs="Calibri" w:eastAsia="Calibri" w:hAnsi="Calibri"/>
          <w:color w:val="5F6B7E"/>
          <w:sz w:val="22"/>
          <w:szCs w:val="22"/>
        </w:rPr>
        <w:t xml:space="preserve">Ingeniería en Sistemas de Información y Ciencias de la Computación</w:t>
      </w:r>
    </w:p>
    <w:p>
      <w:pPr>
        <w:spacing w:after="1400"/>
      </w:pPr>
      <w:r>
        <w:rPr>
          <w:rFonts w:ascii="Calibri" w:cs="Calibri" w:eastAsia="Calibri" w:hAnsi="Calibri"/>
          <w:color w:val="5F6B7E"/>
          <w:sz w:val="22"/>
          <w:szCs w:val="22"/>
        </w:rPr>
        <w:t xml:space="preserve">Curso: Desarrollo Web · Catedrático: M.A. Ing. Elvis Morales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E3A72F"/>
          <w:sz w:val="30"/>
          <w:szCs w:val="30"/>
        </w:rPr>
        <w:t xml:space="preserve">La Promesa ERP</w:t>
      </w:r>
    </w:p>
    <w:p>
      <w:pPr>
        <w:pBdr>
          <w:bottom w:val="single" w:color="E3A72F" w:sz="18" w:space="8"/>
        </w:pBdr>
        <w:spacing w:after="120"/>
      </w:pPr>
      <w:r>
        <w:rPr>
          <w:rFonts w:ascii="Calibri" w:cs="Calibri" w:eastAsia="Calibri" w:hAnsi="Calibri"/>
          <w:b/>
          <w:bCs/>
          <w:color w:val="1F2D5C"/>
          <w:sz w:val="60"/>
          <w:szCs w:val="60"/>
        </w:rPr>
        <w:t xml:space="preserve">Manual técnico</w:t>
      </w:r>
    </w:p>
    <w:p>
      <w:pPr>
        <w:spacing w:after="1400"/>
      </w:pPr>
      <w:r>
        <w:rPr>
          <w:rFonts w:ascii="Calibri" w:cs="Calibri" w:eastAsia="Calibri" w:hAnsi="Calibri"/>
          <w:color w:val="1C2333"/>
          <w:sz w:val="28"/>
          <w:szCs w:val="28"/>
        </w:rPr>
        <w:t xml:space="preserve">Instalación, arquitectura, seguridad y documentación de APIs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D5C"/>
          <w:sz w:val="22"/>
          <w:szCs w:val="22"/>
        </w:rPr>
        <w:t xml:space="preserve">Módulos: 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Proveedores y Compras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D5C"/>
          <w:sz w:val="22"/>
          <w:szCs w:val="22"/>
        </w:rPr>
        <w:t xml:space="preserve">Proceso integrado: 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Orden de compra → recepción → inventario → cuenta por pagar → pago bancario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D5C"/>
          <w:sz w:val="22"/>
          <w:szCs w:val="22"/>
        </w:rPr>
        <w:t xml:space="preserve">Integración externa: 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API de pagos bancarios (BancoSimulado.API)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D5C"/>
          <w:sz w:val="22"/>
          <w:szCs w:val="22"/>
        </w:rPr>
        <w:t xml:space="preserve">Responsable: 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Sara — [escriba nombre completo y carné]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D5C"/>
          <w:sz w:val="22"/>
          <w:szCs w:val="22"/>
        </w:rPr>
        <w:t xml:space="preserve">Versión: 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1.0 · 24 de octubre de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2D5C"/>
          <w:sz w:val="36"/>
          <w:szCs w:val="36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Si el índice aparece vacío, en Word haga clic derecho sobre él → Actualizar campos.</w:t>
      </w:r>
    </w:p>
    <w:p>
      <w:pPr>
        <w:pStyle w:val="Heading1"/>
      </w:pPr>
      <w:r>
        <w:t xml:space="preserve">1. Introducción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Este manual describe cómo está construida, cómo se instala y cómo se ejecuta la parte del sistema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La Promesa ERP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a cargo de Sara: los módulos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Proveedores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y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Compras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su proceso integrado, sus tres reportes y la integración con la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API externa de pagos bancarios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Está dirigido al docente, a los integrantes del equipo y a cualquier desarrollador que necesite instalar o mantener el sistema.</w:t>
      </w:r>
    </w:p>
    <w:p>
      <w:pPr>
        <w:pStyle w:val="Heading2"/>
      </w:pPr>
      <w:r>
        <w:t xml:space="preserve">1.1 Alcance de esta parte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8"/>
        <w:gridCol w:w="7122"/>
      </w:tblGrid>
      <w:tr>
        <w:trPr>
          <w:tblHeader/>
        </w:trPr>
        <w:tc>
          <w:tcPr>
            <w:tcW w:type="dxa" w:w="223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12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23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Módulo Proveedores</w:t>
            </w:r>
          </w:p>
        </w:tc>
        <w:tc>
          <w:tcPr>
            <w:tcW w:type="dxa" w:w="712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CRUD completo (consultar, buscar, agregar, editar, eliminar lógico = inactivar), reactivación y categorías.</w:t>
            </w:r>
          </w:p>
        </w:tc>
      </w:tr>
      <w:tr>
        <w:tc>
          <w:tcPr>
            <w:tcW w:type="dxa" w:w="223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Módulo Compras</w:t>
            </w:r>
          </w:p>
        </w:tc>
        <w:tc>
          <w:tcPr>
            <w:tcW w:type="dxa" w:w="712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CRUD de órdenes de compra (eliminar = anular con motivo), aprobación, recepciones (notas de compra), cuentas por pagar y pagos.</w:t>
            </w:r>
          </w:p>
        </w:tc>
      </w:tr>
      <w:tr>
        <w:tc>
          <w:tcPr>
            <w:tcW w:type="dxa" w:w="223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Proceso integrado</w:t>
            </w:r>
          </w:p>
        </w:tc>
        <w:tc>
          <w:tcPr>
            <w:tcW w:type="dxa" w:w="712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Orden de compra → aprobación → recepción → inventario (kardex) → cuenta por pagar → pago por la API bancaria.</w:t>
            </w:r>
          </w:p>
        </w:tc>
      </w:tr>
      <w:tr>
        <w:tc>
          <w:tcPr>
            <w:tcW w:type="dxa" w:w="223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Reportes</w:t>
            </w:r>
          </w:p>
        </w:tc>
        <w:tc>
          <w:tcPr>
            <w:tcW w:type="dxa" w:w="712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1) Compras por proveedor · 2) Cumplimiento de entregas · 3) Antigüedad de cuentas por pagar. Con filtros, impresión y CSV.</w:t>
            </w:r>
          </w:p>
        </w:tc>
      </w:tr>
      <w:tr>
        <w:tc>
          <w:tcPr>
            <w:tcW w:type="dxa" w:w="223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API externa</w:t>
            </w:r>
          </w:p>
        </w:tc>
        <w:tc>
          <w:tcPr>
            <w:tcW w:type="dxa" w:w="712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BancoSimulado.API: servicio HTTP independiente (otro proceso y puerto) que aprueba o rechaza transferencias.</w:t>
            </w:r>
          </w:p>
        </w:tc>
      </w:tr>
      <w:tr>
        <w:tc>
          <w:tcPr>
            <w:tcW w:type="dxa" w:w="223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Seguridad</w:t>
            </w:r>
          </w:p>
        </w:tc>
        <w:tc>
          <w:tcPr>
            <w:tcW w:type="dxa" w:w="712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JWT (access token + refresh token con rotación), 6 roles, contraseñas con BCrypt, bloqueo tras 5 intentos.</w:t>
            </w:r>
          </w:p>
        </w:tc>
      </w:tr>
    </w:tbl>
    <w:p>
      <w:pPr>
        <w:spacing w:after="160"/>
      </w:pPr>
    </w:p>
    <w:p>
      <w:pPr>
        <w:pBdr>
          <w:left w:val="single" w:color="E3A72F" w:sz="24" w:space="8"/>
        </w:pBdr>
        <w:shd w:fill="FBF0D6" w:color="auto" w:val="clear"/>
        <w:spacing w:after="160" w:before="80" w:line="276"/>
        <w:ind w:left="160" w:right="160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 inventario (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inv.*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) usado por el proceso es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temporal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: pertenece al módulo de Inventarios de Fernando y se reemplazará por su API al integrar.</w:t>
      </w:r>
    </w:p>
    <w:p>
      <w:pPr>
        <w:pStyle w:val="Heading1"/>
        <w:pageBreakBefore/>
      </w:pPr>
      <w:r>
        <w:t xml:space="preserve">2. Arquitectura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 sistema sigue una arquitectura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cliente-servidor por capas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(N-capas) con APIs REST. El frontend nunca accede a la base de datos: todo pasa por la Web API, que valida permisos y reglas y ejecuta procedimientos almacenados. Los pagos por transferencia se envían por HTTP a un servicio bancario independiente.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52975" cy="6296025"/>
            <wp:effectExtent t="0" r="0" b="0" l="0"/>
            <wp:docPr id="1" name="d_arquitectura.jpg" descr="Arquitectura del sistema (frontend, Web API por capas, SQL Server en Docker y API bancaria externa)." title="Arquitectura del sistema (frontend, Web API por capas, SQL Server en Docker y API bancaria extern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Arquitectura del sistema (frontend, Web API por capas, SQL Server en Docker y API bancaria externa).</w:t>
      </w:r>
    </w:p>
    <w:p>
      <w:pPr>
        <w:pStyle w:val="Heading2"/>
      </w:pPr>
      <w:r>
        <w:t xml:space="preserve">2.1 Capas del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4979"/>
        <w:gridCol w:w="2190"/>
      </w:tblGrid>
      <w:tr>
        <w:trPr>
          <w:tblHeader/>
        </w:trP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Proyecto</w:t>
            </w:r>
          </w:p>
        </w:tc>
        <w:tc>
          <w:tcPr>
            <w:tcW w:type="dxa" w:w="497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  <w:tc>
          <w:tcPr>
            <w:tcW w:type="dxa" w:w="21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 de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LaPromesa.API</w:t>
            </w:r>
          </w:p>
        </w:tc>
        <w:tc>
          <w:tcPr>
            <w:tcW w:type="dxa" w:w="497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Controladores REST, autenticación JWT, CORS, Swagger, formato RespuestaApi y manejo de errores.</w:t>
            </w:r>
          </w:p>
        </w:tc>
        <w:tc>
          <w:tcPr>
            <w:tcW w:type="dxa" w:w="21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DTO, Negocio, Utilidades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LaPromesa.Negocio</w:t>
            </w:r>
          </w:p>
        </w:tc>
        <w:tc>
          <w:tcPr>
            <w:tcW w:type="dxa" w:w="497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Reglas del negocio, orquestación del proceso, cliente de la API bancaria (BancoServicio), BCrypt.</w:t>
            </w:r>
          </w:p>
        </w:tc>
        <w:tc>
          <w:tcPr>
            <w:tcW w:type="dxa" w:w="21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Datos, DTO, Entidades, Utilidades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LaPromesa.Datos</w:t>
            </w:r>
          </w:p>
        </w:tc>
        <w:tc>
          <w:tcPr>
            <w:tcW w:type="dxa" w:w="497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Acceso a datos con ADO.NET (SqlConnection, SqlCommand, SqlDataReader) y procedimientos almacenados.</w:t>
            </w:r>
          </w:p>
        </w:tc>
        <w:tc>
          <w:tcPr>
            <w:tcW w:type="dxa" w:w="21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Entidades, Utilidades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LaPromesa.DTO</w:t>
            </w:r>
          </w:p>
        </w:tc>
        <w:tc>
          <w:tcPr>
            <w:tcW w:type="dxa" w:w="497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Objetos de entrada/salida con validaciones (DataAnnotations e IValidatableObject).</w:t>
            </w:r>
          </w:p>
        </w:tc>
        <w:tc>
          <w:tcPr>
            <w:tcW w:type="dxa" w:w="21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LaPromesa.Entidades</w:t>
            </w:r>
          </w:p>
        </w:tc>
        <w:tc>
          <w:tcPr>
            <w:tcW w:type="dxa" w:w="497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Clases que representan las tablas y vistas.</w:t>
            </w:r>
          </w:p>
        </w:tc>
        <w:tc>
          <w:tcPr>
            <w:tcW w:type="dxa" w:w="21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LaPromesa.Utilidades</w:t>
            </w:r>
          </w:p>
        </w:tc>
        <w:tc>
          <w:tcPr>
            <w:tcW w:type="dxa" w:w="497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ConexionSQL, configuración JWT y banco, roles del sistema, Mapeador, ExcepcionNegocio.</w:t>
            </w:r>
          </w:p>
        </w:tc>
        <w:tc>
          <w:tcPr>
            <w:tcW w:type="dxa" w:w="21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BancoSimulado.API</w:t>
            </w:r>
          </w:p>
        </w:tc>
        <w:tc>
          <w:tcPr>
            <w:tcW w:type="dxa" w:w="497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Servicio externo independiente de pagos bancarios (puerto 5100).</w:t>
            </w:r>
          </w:p>
        </w:tc>
        <w:tc>
          <w:tcPr>
            <w:tcW w:type="dxa" w:w="21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Ninguno del ERP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2.2 Flujo del proceso integrado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33950" cy="4848225"/>
            <wp:effectExtent t="0" r="0" b="0" l="0"/>
            <wp:docPr id="1" name="d_proceso.jpg" descr="Proceso integrado de compras: de la orden al pago confirmado por el banco." title="Proceso integrado de compras: de la orden al pago confirmado por el banc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2.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Proceso integrado de compras: de la orden al pago confirmado por el banco.</w:t>
      </w:r>
    </w:p>
    <w:p>
      <w:pPr>
        <w:pStyle w:val="Heading1"/>
        <w:pageBreakBefore/>
      </w:pPr>
      <w:r>
        <w:t xml:space="preserve">3. Requisitos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3386"/>
        <w:gridCol w:w="3385"/>
      </w:tblGrid>
      <w:tr>
        <w:trPr>
          <w:tblHeader/>
        </w:trP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Versión usada</w:t>
            </w:r>
          </w:p>
        </w:tc>
        <w:tc>
          <w:tcPr>
            <w:tcW w:type="dxa" w:w="338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Windows 10/11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64 bits</w:t>
            </w:r>
          </w:p>
        </w:tc>
        <w:tc>
          <w:tcPr>
            <w:tcW w:type="dxa" w:w="338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Sistema operativo de desarrollo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Docker Desktop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4.x (motor 29)</w:t>
            </w:r>
          </w:p>
        </w:tc>
        <w:tc>
          <w:tcPr>
            <w:tcW w:type="dxa" w:w="338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Contenedor de SQL Server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SQL Server 2022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16.0.4295.3 (imagen mssql/server:2022-latest)</w:t>
            </w:r>
          </w:p>
        </w:tc>
        <w:tc>
          <w:tcPr>
            <w:tcW w:type="dxa" w:w="338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Base de datos LaPromesaERP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SQL Server Management Studio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22</w:t>
            </w:r>
          </w:p>
        </w:tc>
        <w:tc>
          <w:tcPr>
            <w:tcW w:type="dxa" w:w="338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Ejecutar scripts y pruebas de la BD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Visual Studio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2026 (18) Community</w:t>
            </w:r>
          </w:p>
        </w:tc>
        <w:tc>
          <w:tcPr>
            <w:tcW w:type="dxa" w:w="338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Backend .NET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.NET SDK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10</w:t>
            </w:r>
          </w:p>
        </w:tc>
        <w:tc>
          <w:tcPr>
            <w:tcW w:type="dxa" w:w="338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LaPromesa.API y BancoSimulado.API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Node.js / npm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20 o superior (probado con 22)</w:t>
            </w:r>
          </w:p>
        </w:tc>
        <w:tc>
          <w:tcPr>
            <w:tcW w:type="dxa" w:w="338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Frontend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Visual Studio Code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Reciente</w:t>
            </w:r>
          </w:p>
        </w:tc>
        <w:tc>
          <w:tcPr>
            <w:tcW w:type="dxa" w:w="338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Edición del frontend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Postman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12</w:t>
            </w:r>
          </w:p>
        </w:tc>
        <w:tc>
          <w:tcPr>
            <w:tcW w:type="dxa" w:w="338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Pruebas de la API propia y externa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Git / GitHub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Reciente</w:t>
            </w:r>
          </w:p>
        </w:tc>
        <w:tc>
          <w:tcPr>
            <w:tcW w:type="dxa" w:w="338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Control de versiones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3.1 Paquetes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3"/>
        <w:gridCol w:w="5576"/>
        <w:gridCol w:w="2191"/>
      </w:tblGrid>
      <w:tr>
        <w:trPr>
          <w:tblHeader/>
        </w:trPr>
        <w:tc>
          <w:tcPr>
            <w:tcW w:type="dxa" w:w="159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557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Paquete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</w:tr>
      <w:tr>
        <w:tc>
          <w:tcPr>
            <w:tcW w:type="dxa" w:w="159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Backend</w:t>
            </w:r>
          </w:p>
        </w:tc>
        <w:tc>
          <w:tcPr>
            <w:tcW w:type="dxa" w:w="557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Microsoft.AspNetCore.Authentication.JwtBearer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10.0.x</w:t>
            </w:r>
          </w:p>
        </w:tc>
      </w:tr>
      <w:tr>
        <w:tc>
          <w:tcPr>
            <w:tcW w:type="dxa" w:w="159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Backend</w:t>
            </w:r>
          </w:p>
        </w:tc>
        <w:tc>
          <w:tcPr>
            <w:tcW w:type="dxa" w:w="557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Microsoft.AspNetCore.OpenApi + Swashbuckle.AspNetCore.SwaggerUI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10.0.12 / 9.x</w:t>
            </w:r>
          </w:p>
        </w:tc>
      </w:tr>
      <w:tr>
        <w:tc>
          <w:tcPr>
            <w:tcW w:type="dxa" w:w="159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Backend</w:t>
            </w:r>
          </w:p>
        </w:tc>
        <w:tc>
          <w:tcPr>
            <w:tcW w:type="dxa" w:w="557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Microsoft.Data.SqlClient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6.x</w:t>
            </w:r>
          </w:p>
        </w:tc>
      </w:tr>
      <w:tr>
        <w:tc>
          <w:tcPr>
            <w:tcW w:type="dxa" w:w="159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Backend</w:t>
            </w:r>
          </w:p>
        </w:tc>
        <w:tc>
          <w:tcPr>
            <w:tcW w:type="dxa" w:w="557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BCrypt.Net-Next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4.0.3</w:t>
            </w:r>
          </w:p>
        </w:tc>
      </w:tr>
      <w:tr>
        <w:tc>
          <w:tcPr>
            <w:tcW w:type="dxa" w:w="159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Frontend</w:t>
            </w:r>
          </w:p>
        </w:tc>
        <w:tc>
          <w:tcPr>
            <w:tcW w:type="dxa" w:w="557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react / react-dom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19.2</w:t>
            </w:r>
          </w:p>
        </w:tc>
      </w:tr>
      <w:tr>
        <w:tc>
          <w:tcPr>
            <w:tcW w:type="dxa" w:w="159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Frontend</w:t>
            </w:r>
          </w:p>
        </w:tc>
        <w:tc>
          <w:tcPr>
            <w:tcW w:type="dxa" w:w="557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vite + @vitejs/plugin-react + typescript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8.x / 6.x</w:t>
            </w:r>
          </w:p>
        </w:tc>
      </w:tr>
      <w:tr>
        <w:tc>
          <w:tcPr>
            <w:tcW w:type="dxa" w:w="159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Frontend</w:t>
            </w:r>
          </w:p>
        </w:tc>
        <w:tc>
          <w:tcPr>
            <w:tcW w:type="dxa" w:w="557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axios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1.20</w:t>
            </w:r>
          </w:p>
        </w:tc>
      </w:tr>
      <w:tr>
        <w:tc>
          <w:tcPr>
            <w:tcW w:type="dxa" w:w="159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Frontend</w:t>
            </w:r>
          </w:p>
        </w:tc>
        <w:tc>
          <w:tcPr>
            <w:tcW w:type="dxa" w:w="557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bootstrap + bootstrap-icons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5.3.8 / 1.13</w:t>
            </w:r>
          </w:p>
        </w:tc>
      </w:tr>
      <w:tr>
        <w:tc>
          <w:tcPr>
            <w:tcW w:type="dxa" w:w="159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Frontend</w:t>
            </w:r>
          </w:p>
        </w:tc>
        <w:tc>
          <w:tcPr>
            <w:tcW w:type="dxa" w:w="557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react-router-dom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7.18</w:t>
            </w:r>
          </w:p>
        </w:tc>
      </w:tr>
      <w:tr>
        <w:tc>
          <w:tcPr>
            <w:tcW w:type="dxa" w:w="159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Pruebas</w:t>
            </w:r>
          </w:p>
        </w:tc>
        <w:tc>
          <w:tcPr>
            <w:tcW w:type="dxa" w:w="557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playwright-core (pruebas E2E con Microsoft Edge)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1.56.1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4. Estructura del proyecto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 repositorio sigue la estructura solicitada en el documento del proyecto final:</w:t>
      </w:r>
    </w:p>
    <w:p>
      <w:pPr>
        <w:pBdr>
          <w:top w:val="single" w:color="C7CEDB" w:sz="4" w:space="4"/>
        </w:pBdr>
        <w:shd w:fill="F2F4F7" w:color="auto" w:val="clear"/>
        <w:spacing w:after="0" w:before="6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LaPromesaERP/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├── backend/LaPromesa/            Solución LaPromesa.slnx (6 capas + BancoSimulado.API)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├── frontend/LaPromesa.Web/       React + TypeScript (Vite)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│   ├── src/components/           Menú, rutas protegidas, paginación, modales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│   ├── src/pages/                Una página por pantalla (+ su .css)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│   ├── src/services/             api.ts (Axios + JWT) y un servicio por controlador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│   ├── src/interfaces/           Tipos iguales a los DTO del backend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│   └── e2e/                      Pruebas automáticas de extremo a extremo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├── database/scripts/             00–14: creación completa (SQLCMD)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├── database/seed/                Datos de prueba ficticios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├── database/tests/               Pruebas de reglas y verificación de objetos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├── docker/docker-compose.yml     Contenedor de SQL Server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├── docs/                         Diagramas, reglas, manuales, evidencias, Postman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├── scripts/configurar-secretos.ps1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├── .ai/skills/compras-proveedores/SKILL.md</w:t>
      </w:r>
    </w:p>
    <w:p>
      <w:pPr>
        <w:pBdr>
          <w:bottom w:val="single" w:color="C7CEDB" w:sz="4" w:space="4"/>
        </w:pBd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├── AGENTS.md · memoria.md · README.md · .env.example · .gitignore</w:t>
      </w:r>
    </w:p>
    <w:p>
      <w:pPr>
        <w:spacing w:after="80"/>
      </w:pPr>
    </w:p>
    <w:p>
      <w:pPr>
        <w:pStyle w:val="Heading1"/>
        <w:pageBreakBefore/>
      </w:pPr>
      <w:r>
        <w:t xml:space="preserve">5. Instalación y configuración</w:t>
      </w:r>
    </w:p>
    <w:p>
      <w:pPr>
        <w:pStyle w:val="Heading2"/>
      </w:pPr>
      <w:r>
        <w:t xml:space="preserve">5.1 Base de datos en Docker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Copiar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.env.example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como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.env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y escribir una contraseña segura en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MSSQL_SA_PASSWORD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(el archivo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.env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no se sube a GitHub).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Levantar el contenedor: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docker compose -f docker/docker-compose.yml up -d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(publica el puerto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1435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SSMS conectarse a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localhost,1435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con el usuario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sa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Abrir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database/scripts/00_ejecutar_todo.sql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activar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Consulta → Modo SQLCMD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revisar la ruta de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:setvar RutaBD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y presionar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F5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Crea la base, los esquemas, tablas, vistas, triggers, procedimientos, roles y los datos de prueba.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Verificar: ejecutar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database/tests/02_verificar_objetos.sql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(todo en OK) y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database/tests/01_pruebas_reglas_negocio.sql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(29 de 29 en PASÓ).</w:t>
      </w:r>
    </w:p>
    <w:p>
      <w:pPr>
        <w:pStyle w:val="Heading2"/>
      </w:pPr>
      <w:r>
        <w:t xml:space="preserve">5.2 Configuración local del backend (sin credenciales en el repositorio)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Las claves no se escriben en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appsettings.json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Se configuran con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user-secrets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(script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scripts/configurar-secretos.ps1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) o con el archivo local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appsettings.Development.local.json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que está excluido por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.gitignore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y tiene prioridad al cargar la configuración.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390"/>
        <w:gridCol w:w="4381"/>
      </w:tblGrid>
      <w:tr>
        <w:trPr>
          <w:tblHeader/>
        </w:trP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23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Proyecto</w:t>
            </w:r>
          </w:p>
        </w:tc>
        <w:tc>
          <w:tcPr>
            <w:tcW w:type="dxa" w:w="438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ConnectionStrings:ConexionSQL</w:t>
            </w:r>
          </w:p>
        </w:tc>
        <w:tc>
          <w:tcPr>
            <w:tcW w:type="dxa" w:w="23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LaPromesa.API</w:t>
            </w:r>
          </w:p>
        </w:tc>
        <w:tc>
          <w:tcPr>
            <w:tcW w:type="dxa" w:w="438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Server=localhost,1435;Database=LaPromesaERP;User Id=…;Password=…;TrustServerCertificate=True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Jwt:Key</w:t>
            </w:r>
          </w:p>
        </w:tc>
        <w:tc>
          <w:tcPr>
            <w:tcW w:type="dxa" w:w="23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LaPromesa.API</w:t>
            </w:r>
          </w:p>
        </w:tc>
        <w:tc>
          <w:tcPr>
            <w:tcW w:type="dxa" w:w="438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Clave de firma HMAC del JWT (mínimo 32 caracteres, aleatoria).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Banco:ApiKey</w:t>
            </w:r>
          </w:p>
        </w:tc>
        <w:tc>
          <w:tcPr>
            <w:tcW w:type="dxa" w:w="23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API y BancoSimulado.API</w:t>
            </w:r>
          </w:p>
        </w:tc>
        <w:tc>
          <w:tcPr>
            <w:tcW w:type="dxa" w:w="438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Misma clave en ambos proyectos; viaja en el encabezado X-Api-Key.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Seed:PasswordDemo</w:t>
            </w:r>
          </w:p>
        </w:tc>
        <w:tc>
          <w:tcPr>
            <w:tcW w:type="dxa" w:w="23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LaPromesa.API</w:t>
            </w:r>
          </w:p>
        </w:tc>
        <w:tc>
          <w:tcPr>
            <w:tcW w:type="dxa" w:w="438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Contraseña inicial de los usuarios de prueba (se guarda con hash BCrypt).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Frontend:Url</w:t>
            </w:r>
          </w:p>
        </w:tc>
        <w:tc>
          <w:tcPr>
            <w:tcW w:type="dxa" w:w="23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LaPromesa.API (appsettings.json)</w:t>
            </w:r>
          </w:p>
        </w:tc>
        <w:tc>
          <w:tcPr>
            <w:tcW w:type="dxa" w:w="438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Origen permitido por CORS: http://localhost:5173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VITE_API_URL</w:t>
            </w:r>
          </w:p>
        </w:tc>
        <w:tc>
          <w:tcPr>
            <w:tcW w:type="dxa" w:w="23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Frontend (.env.development)</w:t>
            </w:r>
          </w:p>
        </w:tc>
        <w:tc>
          <w:tcPr>
            <w:tcW w:type="dxa" w:w="438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URL del backend: http://localhost:5000</w:t>
            </w:r>
          </w:p>
        </w:tc>
      </w:tr>
    </w:tbl>
    <w:p>
      <w:pPr>
        <w:spacing w:after="160"/>
      </w:pPr>
    </w:p>
    <w:p>
      <w:pPr>
        <w:pBdr>
          <w:left w:val="single" w:color="2C66A8" w:sz="24" w:space="8"/>
        </w:pBdr>
        <w:shd w:fill="E3EEFA" w:color="auto" w:val="clear"/>
        <w:spacing w:after="160" w:before="80" w:line="276"/>
        <w:ind w:left="160" w:right="160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Si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VITE_API_URL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se deja vacío, el servidor de Vite reenvía las llamadas a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/api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hacia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http://localhost:5000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(proxy de desarrollo). En ambos casos el backend aplica CORS para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http://localhost:5173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Heading2"/>
      </w:pPr>
      <w:r>
        <w:t xml:space="preserve">5.3 Ejecutar el backend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Abrir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backend/LaPromesa/LaPromesa.slnx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en Visual Studio.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Elegir el perfil de inicio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API + Banco simulado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(archivo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LaPromesa.slnLaunch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), que arranca los dos proyectos con el perfil http.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Presionar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F5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La API queda en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http://localhost:5000/swagger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y el banco en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http://localhost:5100/swagger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Al iniciar por primera vez, la API crea los usuarios de prueba (admin, sara.compras, gerente.general, bodega.central, tesoreria, consulta).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3981450"/>
            <wp:effectExtent t="0" r="0" b="0" l="0"/>
            <wp:docPr id="1" name="45_swagger_api_lapromesa.jpg" descr="Swagger de LaPromesa.API con los controladores del módulo." title="Swagger de LaPromesa.API con los controladores del módul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3.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Swagger de LaPromesa.API con los controladores del módulo.</w:t>
      </w:r>
    </w:p>
    <w:p>
      <w:pPr>
        <w:pStyle w:val="Heading2"/>
      </w:pPr>
      <w:r>
        <w:t xml:space="preserve">5.4 Ejecutar el frontend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Abrir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frontend/LaPromesa.Web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y dar doble clic a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iniciar-frontend.bat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o en una terminal: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npm install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(solo la primera vez) y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npm run dev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Abrir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http://localhost:5173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e iniciar sesión con un usuario de prueba.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Para generar la versión de producción: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npm run build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(carpeta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dist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).</w:t>
      </w:r>
    </w:p>
    <w:p>
      <w:pPr>
        <w:pStyle w:val="Heading1"/>
        <w:pageBreakBefore/>
      </w:pPr>
      <w:r>
        <w:t xml:space="preserve">6. Base de datos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La base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LaPromesaERP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usa intercalación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Modern_Spanish_CI_AS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READ_COMMITTED_SNAPSHOT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Toda escritura pasa por procedimientos almacenados con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TRY/CATCH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transacción y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XACT_ABORT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; los errores se guardan en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aud.ErroresBD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2"/>
        <w:gridCol w:w="7568"/>
      </w:tblGrid>
      <w:tr>
        <w:trPr>
          <w:tblHeader/>
        </w:trP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Esquema</w:t>
            </w:r>
          </w:p>
        </w:tc>
        <w:tc>
          <w:tcPr>
            <w:tcW w:type="dxa" w:w="756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compras</w:t>
            </w:r>
          </w:p>
        </w:tc>
        <w:tc>
          <w:tcPr>
            <w:tcW w:type="dxa" w:w="756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CategoriasProveedor, Proveedores, OrdenesCompra, OrdenesCompraDetalle, OrdenesCompraHistorial, Recepciones, RecepcionesDetalle, CuentasPorPagar, PagosProveedor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inv (temporal)</w:t>
            </w:r>
          </w:p>
        </w:tc>
        <w:tc>
          <w:tcPr>
            <w:tcW w:type="dxa" w:w="756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Bodegas, Productos, Existencias, MovimientosInventario (se reemplaza por el módulo de Fernando)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seg</w:t>
            </w:r>
          </w:p>
        </w:tc>
        <w:tc>
          <w:tcPr>
            <w:tcW w:type="dxa" w:w="756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Roles, Usuarios (hash BCrypt), RefreshTokens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rpt</w:t>
            </w:r>
          </w:p>
        </w:tc>
        <w:tc>
          <w:tcPr>
            <w:tcW w:type="dxa" w:w="756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Procedimientos de los 3 reportes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aud</w:t>
            </w:r>
          </w:p>
        </w:tc>
        <w:tc>
          <w:tcPr>
            <w:tcW w:type="dxa" w:w="756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Bitácora de cambios (solo lectura) y registro de errores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cfg</w:t>
            </w:r>
          </w:p>
        </w:tc>
        <w:tc>
          <w:tcPr>
            <w:tcW w:type="dxa" w:w="756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Parámetros del sistema (IVA, tolerancia de entrega, máximo de intentos de pago, etc.)</w:t>
            </w:r>
          </w:p>
        </w:tc>
      </w:tr>
    </w:tbl>
    <w:p>
      <w:pPr>
        <w:spacing w:after="1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6343650"/>
            <wp:effectExtent t="0" r="0" b="0" l="0"/>
            <wp:docPr id="1" name="d_er.jpg" descr="Modelo entidad-relación de los módulos Proveedores y Compras." title="Modelo entidad-relación de los módulos Proveedores y Compr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4.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Modelo entidad-relación de los módulos Proveedores y Compras.</w:t>
      </w:r>
    </w:p>
    <w:p>
      <w:pPr>
        <w:pStyle w:val="Heading2"/>
      </w:pPr>
      <w:r>
        <w:t xml:space="preserve">6.1 Objetos creados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2"/>
        <w:gridCol w:w="1195"/>
        <w:gridCol w:w="6373"/>
      </w:tblGrid>
      <w:tr>
        <w:trPr>
          <w:tblHeader/>
        </w:trP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Cantidad</w:t>
            </w:r>
          </w:p>
        </w:tc>
        <w:tc>
          <w:tcPr>
            <w:tcW w:type="dxa" w:w="637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Ejemplos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Tablas</w:t>
            </w:r>
          </w:p>
        </w:tc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19</w:t>
            </w:r>
          </w:p>
        </w:tc>
        <w:tc>
          <w:tcPr>
            <w:tcW w:type="dxa" w:w="637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compras.Proveedores, compras.OrdenesCompra, seg.Usuarios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Vistas</w:t>
            </w:r>
          </w:p>
        </w:tc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7</w:t>
            </w:r>
          </w:p>
        </w:tc>
        <w:tc>
          <w:tcPr>
            <w:tcW w:type="dxa" w:w="637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compras.vw_Proveedores, vw_OrdenesCompra, vw_CuentasPorPagar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Procedimientos</w:t>
            </w:r>
          </w:p>
        </w:tc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31</w:t>
            </w:r>
          </w:p>
        </w:tc>
        <w:tc>
          <w:tcPr>
            <w:tcW w:type="dxa" w:w="637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sp_Proveedor_Crear, sp_OrdenCompra_Aprobar, sp_Recepcion_Registrar, sp_Pago_Iniciar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Funciones</w:t>
            </w:r>
          </w:p>
        </w:tc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7</w:t>
            </w:r>
          </w:p>
        </w:tc>
        <w:tc>
          <w:tcPr>
            <w:tcW w:type="dxa" w:w="637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fn_NitValido (módulo 11), fn_Cumplimiento, fn_RangoAntiguedad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Triggers</w:t>
            </w:r>
          </w:p>
        </w:tc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23</w:t>
            </w:r>
          </w:p>
        </w:tc>
        <w:tc>
          <w:tcPr>
            <w:tcW w:type="dxa" w:w="637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Auditoría, prohibir DELETE físico, documentos inmutables, transiciones de estado, totales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Secuencias</w:t>
            </w:r>
          </w:p>
        </w:tc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</w:t>
            </w:r>
          </w:p>
        </w:tc>
        <w:tc>
          <w:tcPr>
            <w:tcW w:type="dxa" w:w="637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Numeración PR###, OC-, RC-, CP-, PG-</w:t>
            </w:r>
          </w:p>
        </w:tc>
      </w:tr>
    </w:tbl>
    <w:p>
      <w:pPr>
        <w:spacing w:after="1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238500"/>
            <wp:effectExtent t="0" r="0" b="0" l="0"/>
            <wp:docPr id="1" name="x_sql_verificacion_objetos.jpg" descr="Verificación de objetos en SSMS: todos los objetos esperados existen." title="Verificación de objetos en SSMS: todos los objetos esperados exist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5.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Verificación de objetos en SSMS: todos los objetos esperados existen.</w:t>
      </w:r>
    </w:p>
    <w:p>
      <w:pPr>
        <w:pStyle w:val="Heading2"/>
      </w:pPr>
      <w:r>
        <w:t xml:space="preserve">6.2 Códigos de error y respuesta HTTP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2191"/>
        <w:gridCol w:w="996"/>
        <w:gridCol w:w="4978"/>
      </w:tblGrid>
      <w:tr>
        <w:trPr>
          <w:tblHeader/>
        </w:trPr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HTTP</w:t>
            </w:r>
          </w:p>
        </w:tc>
        <w:tc>
          <w:tcPr>
            <w:tcW w:type="dxa" w:w="497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51xxx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Dato inválido</w:t>
            </w:r>
          </w:p>
        </w:tc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400</w:t>
            </w:r>
          </w:p>
        </w:tc>
        <w:tc>
          <w:tcPr>
            <w:tcW w:type="dxa" w:w="497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51011 NIT inválido · 51017 motivo menor a 10 caracteres</w:t>
            </w:r>
          </w:p>
        </w:tc>
      </w:tr>
      <w:tr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52xxx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No encontrado</w:t>
            </w:r>
          </w:p>
        </w:tc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404</w:t>
            </w:r>
          </w:p>
        </w:tc>
        <w:tc>
          <w:tcPr>
            <w:tcW w:type="dxa" w:w="497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52005 El pago no existe</w:t>
            </w:r>
          </w:p>
        </w:tc>
      </w:tr>
      <w:tr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53xxx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Regla del negocio</w:t>
            </w:r>
          </w:p>
        </w:tc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409</w:t>
            </w:r>
          </w:p>
        </w:tc>
        <w:tc>
          <w:tcPr>
            <w:tcW w:type="dxa" w:w="497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53005 proveedor con órdenes abiertas · 53017 segregación de funciones</w:t>
            </w:r>
          </w:p>
        </w:tc>
      </w:tr>
      <w:tr>
        <w:tc>
          <w:tcPr>
            <w:tcW w:type="dxa" w:w="1195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54xxx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Concurrencia</w:t>
            </w:r>
          </w:p>
        </w:tc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409</w:t>
            </w:r>
          </w:p>
        </w:tc>
        <w:tc>
          <w:tcPr>
            <w:tcW w:type="dxa" w:w="497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54001 el registro fue modificado por otro usuario (RowVersion)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7. Seguridad</w:t>
      </w:r>
    </w:p>
    <w:p>
      <w:pPr>
        <w:pStyle w:val="Heading2"/>
      </w:pPr>
      <w:r>
        <w:t xml:space="preserve">7.1 Autenticación con access token y refresh token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2752725"/>
            <wp:effectExtent t="0" r="0" b="0" l="0"/>
            <wp:docPr id="1" name="d_jwt.jpg" descr="Inicio de sesión, renovación con rotación y cierre de sesión." title="Inicio de sesión, renovación con rotación y cierre de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6.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Inicio de sesión, renovación con rotación y cierre de sesión.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7169"/>
      </w:tblGrid>
      <w:tr>
        <w:trPr>
          <w:tblHeader/>
        </w:trP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Implementación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Access token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JWT firmado (HMAC-SHA256), 15 minutos, incluye usuario y rol.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Refresh token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7 días, se guarda con hash en seg.RefreshTokens, rota en cada renovación.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Reutilización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Si se usa un refresh token ya rotado se responde 401 (detección de robo).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Cierre de sesión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CerrarSesion revoca el refresh token; después ya no sirve para renovar.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Frontend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Axios envía el Bearer en cada petición; ante 401 renueva una sola vez y repite la petición; si falla, vuelve al login.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Contraseñas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Hash BCrypt; bloqueo de 15 minutos tras 5 intentos fallidos.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Acceso a datos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Solo procedimientos almacenados con parámetros tipados (sin SQL concatenado).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7.2 Roles y permisos (verificados en el backend)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3186"/>
        <w:gridCol w:w="3983"/>
      </w:tblGrid>
      <w:tr>
        <w:trPr>
          <w:tblHeader/>
        </w:trP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Permiso</w:t>
            </w:r>
          </w:p>
        </w:tc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Operaciones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Gestionar proveedores</w:t>
            </w:r>
          </w:p>
        </w:tc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Administrador, Compras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Agregar y editar proveedores, crear categorías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Crear compras</w:t>
            </w:r>
          </w:p>
        </w:tc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Administrador, Compras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Agregar y editar órdenes de compra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Autorizar compras</w:t>
            </w:r>
          </w:p>
        </w:tc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Administrador, Gerente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Aprobar y anular órdenes; inactivar y reactivar proveedores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Recibir mercadería</w:t>
            </w:r>
          </w:p>
        </w:tc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Administrador, Bodega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Registrar recepciones (proceso integrado)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Registrar pagos</w:t>
            </w:r>
          </w:p>
        </w:tc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Administrador, Tesorería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Pagar cuentas, reintentar pagos pendientes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Ver finanzas</w:t>
            </w:r>
          </w:p>
        </w:tc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Administrador, Tesorería, Gerente, Consulta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Consultar cuentas por pagar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Ver reportes</w:t>
            </w:r>
          </w:p>
        </w:tc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Administrador, Gerente, Compras, Tesorería, Consulta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Los 3 reportes y su exportación</w:t>
            </w:r>
          </w:p>
        </w:tc>
      </w:tr>
    </w:tbl>
    <w:p>
      <w:pPr>
        <w:spacing w:after="160"/>
      </w:pP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 frontend oculta botones y rutas según el rol, pero la protección real está en la API: cada controlador usa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[Authorize(Roles = …)]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con las mismas combinaciones (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RolesSistema.cs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).</w:t>
      </w:r>
    </w:p>
    <w:p>
      <w:pPr>
        <w:pStyle w:val="Heading1"/>
        <w:pageBreakBefore/>
      </w:pPr>
      <w:r>
        <w:t xml:space="preserve">8. Documentación de la API REST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Todas las respuestas usan el formato estándar del curso:</w:t>
      </w:r>
    </w:p>
    <w:p>
      <w:pPr>
        <w:pBdr>
          <w:top w:val="single" w:color="C7CEDB" w:sz="4" w:space="4"/>
        </w:pBdr>
        <w:shd w:fill="F2F4F7" w:color="auto" w:val="clear"/>
        <w:spacing w:after="0" w:before="6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{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"exito": true,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"mensaje": "Proveedores consultados correctamente.",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"datos": { … },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"detalle": null</w:t>
      </w:r>
    </w:p>
    <w:p>
      <w:pPr>
        <w:pBdr>
          <w:bottom w:val="single" w:color="C7CEDB" w:sz="4" w:space="4"/>
        </w:pBd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URL base: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http://localhost:5000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Todas las rutas (salvo iniciar sesión y renovar) requieren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Authorization: Bearer &lt;accessToken&gt;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Heading2"/>
      </w:pPr>
      <w:r>
        <w:t xml:space="preserve">8.1 Autenticación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3784"/>
        <w:gridCol w:w="1892"/>
        <w:gridCol w:w="2688"/>
      </w:tblGrid>
      <w:tr>
        <w:trPr>
          <w:tblHeader/>
        </w:trP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POST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/api/Autenticacion/IniciarSesion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Público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Devuelve access y refresh token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POST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/api/Autenticacion/RenovarToken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Público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Rota el refresh token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POST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/api/Autenticacion/CerrarSesion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Autenticado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Revoca el refresh token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/api/Autenticacion/UsuarioActual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Autenticado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Datos y rol del usuario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8.2 Proveedores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3784"/>
        <w:gridCol w:w="1892"/>
        <w:gridCol w:w="2688"/>
      </w:tblGrid>
      <w:tr>
        <w:trPr>
          <w:tblHeader/>
        </w:trP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/api/Proveedores/ConsultarProveedores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Autenticado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Buscar, filtrar (estado, tipo, categoría), ordenar y paginar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/api/Proveedores/BuscarProveedor/{codigo}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Autenticado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Detalle con órdenes, cuentas y cumplimiento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POST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/api/Proveedores/AgregarProveedor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Compras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Registrar proveedor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PUT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/api/Proveedores/EditarProveedor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Compras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Editar (requiere rowVersion)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DELETE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/api/Proveedores/EliminarProveedor/{codigo}?motivo=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Gerente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Inactivación lógica con motivo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PUT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/api/Proveedores/ReactivarProveedor/{codigo}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Gerente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Reactivar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 / POST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/api/Categorias/ConsultarCategorias · AgregarCategoria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Autenticado / Admin, Compras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Catálogo de categorías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8.3 Órdenes de compra, recepciones y catálogos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3784"/>
        <w:gridCol w:w="1892"/>
        <w:gridCol w:w="2688"/>
      </w:tblGrid>
      <w:tr>
        <w:trPr>
          <w:tblHeader/>
        </w:trP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/api/OrdenesCompra/ConsultarOrdenesCompra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Autenticado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Buscar, filtrar (estado, proveedor, bodega, fechas, atrasadas), ordenar, paginar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/api/OrdenesCompra/BuscarOrdenCompra/{codigo}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Autenticado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Orden, líneas, recepciones e historial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POST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/api/OrdenesCompra/AgregarOrdenCompra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Compras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Crear orden (queda Pendiente)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PUT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/api/OrdenesCompra/EditarOrdenCompra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Compras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Editar orden Pendiente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PUT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/api/OrdenesCompra/AprobarOrdenCompra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Gerente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Aprobar (segregación de funciones)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DELETE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/api/OrdenesCompra/EliminarOrdenCompra/{codigo}?motivo=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Gerente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Anulación lógica con motivo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POST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/api/OrdenesCompra/RecibirOrdenCompra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Bodega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Proceso integrado: recepción → inventario → cuenta por pagar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/api/Recepciones/ConsultarRecepciones · BuscarRecepcion/{codigo}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Autenticado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Notas de compra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/api/Catalogos/ConsultarBodegas · ConsultarProductos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Autenticado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Catálogos (temporales de inventario)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8.4 Cuentas por pagar y pagos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3784"/>
        <w:gridCol w:w="1892"/>
        <w:gridCol w:w="2688"/>
      </w:tblGrid>
      <w:tr>
        <w:trPr>
          <w:tblHeader/>
        </w:trP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/api/CuentasPorPagar/ConsultarCuentasPorPagar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Finanzas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Filtrar por proveedor, estado, vencidas y fechas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/api/CuentasPorPagar/BuscarCuentaPorPagar/{codigo}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Finanzas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Cuenta y sus pagos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POST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/api/CuentasPorPagar/PagarCuentaPorPagar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Tesorería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Pago (transferencia por API bancaria, cheque o efectivo)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/api/CuentasPorPagar/ConsultarPagosPendientes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Tesorería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Transferencias sin confirmar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PUT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/api/CuentasPorPagar/ReintentarPago/{codigo}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Admin, Tesorería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Volver a consultar al banco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8.5 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3784"/>
        <w:gridCol w:w="1892"/>
        <w:gridCol w:w="2688"/>
      </w:tblGrid>
      <w:tr>
        <w:trPr>
          <w:tblHeader/>
        </w:trP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/api/Reportes/ReporteComprasPorProveedor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Reportes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Período, proveedor, categoría, bodega, estado; formato=csv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/api/Reportes/ReporteCumplimientoProveedores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Reportes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Período, proveedor, categoría; formato=csv</w:t>
            </w:r>
          </w:p>
        </w:tc>
      </w:tr>
      <w:tr>
        <w:tc>
          <w:tcPr>
            <w:tcW w:type="dxa" w:w="99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/api/Reportes/ReporteCuentasPorPagar</w:t>
            </w:r>
          </w:p>
        </w:tc>
        <w:tc>
          <w:tcPr>
            <w:tcW w:type="dxa" w:w="18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Reportes</w:t>
            </w:r>
          </w:p>
        </w:tc>
        <w:tc>
          <w:tcPr>
            <w:tcW w:type="dxa" w:w="26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Fecha de corte, proveedor, categoría, incluir pagadas; formato=csv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9. API externa: pagos bancarios (BancoSimulado.API)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Cumple el requisito de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integración externa individual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: es un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servicio HTTP independiente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del backend principal (otro proyecto, otro proceso, otro puerto, su propia clave y su propio almacenamiento). El ERP lo consume por HTTP con los datos reales del pago, igual que consumiría la API de un banco; no es una respuesta fija dentro del mismo módulo.</w:t>
      </w:r>
    </w:p>
    <w:p>
      <w:pPr>
        <w:pStyle w:val="Heading2"/>
      </w:pPr>
      <w:r>
        <w:t xml:space="preserve">9.1 Datos del servicio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7169"/>
      </w:tblGrid>
      <w:tr>
        <w:trPr>
          <w:tblHeader/>
        </w:trP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URL base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http://localhost:5100 (Swagger en /swagger)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Autenticación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Encabezado X-Api-Key (comparación en tiempo constante); sin clave → 401 NO_AUTORIZADO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Transferir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POST /api/v1/transferencias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Consultar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 /api/v1/transferencias/{operacionId}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Auditoría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 /api/v1/transferencias (lista lo recibido)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Estado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GET /health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Idempotencia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El mismo operacionId devuelve siempre la misma respuesta y nunca debita dos veces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Persistencia</w:t>
            </w:r>
          </w:p>
        </w:tc>
        <w:tc>
          <w:tcPr>
            <w:tcW w:type="dxa" w:w="716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Archivo JSON propio (carpeta datos/, excluida de Git)</w:t>
            </w:r>
          </w:p>
        </w:tc>
      </w:tr>
    </w:tbl>
    <w:p>
      <w:pPr>
        <w:spacing w:after="1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46_swagger_banco_simulado.jpg" descr="Swagger del servicio externo BancoSimulado.API." title="Swagger del servicio externo BancoSimulado.AP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7.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Swagger del servicio externo BancoSimulado.API.</w:t>
      </w:r>
    </w:p>
    <w:p>
      <w:pPr>
        <w:pStyle w:val="Heading2"/>
      </w:pPr>
      <w:r>
        <w:t xml:space="preserve">9.2 Contrato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Solicitud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(la arma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BancoServicio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en la capa Negocio):</w:t>
      </w:r>
    </w:p>
    <w:p>
      <w:pPr>
        <w:pBdr>
          <w:top w:val="single" w:color="C7CEDB" w:sz="4" w:space="4"/>
        </w:pBdr>
        <w:shd w:fill="F2F4F7" w:color="auto" w:val="clear"/>
        <w:spacing w:after="0" w:before="6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POST /api/v1/transferencias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X-Api-Key: ********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{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"operacionId": "8f1c…-…",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"bancoDestino": "Banco Simulado GT",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"cuentaDestino": "SIM-001-7788990",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"monto": 150.00,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"moneda": "GTQ",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"concepto": "Pago CP-000102 factura A-E2E-…"</w:t>
      </w:r>
    </w:p>
    <w:p>
      <w:pPr>
        <w:pBdr>
          <w:bottom w:val="single" w:color="C7CEDB" w:sz="4" w:space="4"/>
        </w:pBd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Respuesta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:</w:t>
      </w:r>
    </w:p>
    <w:p>
      <w:pPr>
        <w:pBdr>
          <w:top w:val="single" w:color="C7CEDB" w:sz="4" w:space="4"/>
        </w:pBdr>
        <w:shd w:fill="F2F4F7" w:color="auto" w:val="clear"/>
        <w:spacing w:after="0" w:before="6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200 OK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{ "operacionId": "8f1c…", "estado": "APROBADA",</w:t>
      </w:r>
    </w:p>
    <w:p>
      <w:pP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"autorizacion": "SIM-20261024-736120",</w:t>
      </w:r>
    </w:p>
    <w:p>
      <w:pPr>
        <w:pBdr>
          <w:bottom w:val="single" w:color="C7CEDB" w:sz="4" w:space="4"/>
        </w:pBdr>
        <w:shd w:fill="F2F4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C2333"/>
          <w:sz w:val="18"/>
          <w:szCs w:val="18"/>
        </w:rPr>
        <w:t xml:space="preserve">  "mensaje": "Transferencia acreditada.", "fecha": "2026-10-24T22:18:05Z" }</w:t>
      </w:r>
    </w:p>
    <w:p>
      <w:pPr>
        <w:spacing w:after="80"/>
      </w:pPr>
    </w:p>
    <w:p>
      <w:pPr>
        <w:pStyle w:val="Heading2"/>
      </w:pPr>
      <w:r>
        <w:t xml:space="preserve">9.3 Reglas de la simulación y manejo en el ERP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788"/>
        <w:gridCol w:w="3983"/>
      </w:tblGrid>
      <w:tr>
        <w:trPr>
          <w:tblHeader/>
        </w:trP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Respuesta del banco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 el ERP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Datos correctos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200 · APROBADA + autorización SIM-…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Pago Aprobado, guarda la referencia y baja el saldo de la cuenta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Monto mayor a Q50,000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200 · RECHAZADA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Pago Rechazado con el mensaje del banco; el saldo no cambia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Cuenta que termina en 0000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200 · RECHAZADA (cuenta inexistente)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Pago Rechazado; el saldo no cambia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Moneda distinta de GTQ o datos incompletos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400 Solicitud inválida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Pago Rechazado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Clave de API incorrecta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401 NO_AUTORIZADO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Pago queda Pendiente (credenciales inválidas)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Banco caído (X-Simular: error)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503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Pago queda Pendiente; se reintenta con el mismo operacionId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Banco lento (X-Simular: lento)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Tarda 15 s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Tiempo agotado a los 10 s → Pendiente</w:t>
            </w:r>
          </w:p>
        </w:tc>
      </w:tr>
      <w:tr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3 intentos fallidos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—</w:t>
            </w:r>
          </w:p>
        </w:tc>
        <w:tc>
          <w:tcPr>
            <w:tcW w:type="dxa" w:w="3983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El pago pasa a Rechazado (parámetro PAGO_MAX_INTENTOS)</w:t>
            </w:r>
          </w:p>
        </w:tc>
      </w:tr>
    </w:tbl>
    <w:p>
      <w:pPr>
        <w:spacing w:after="1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667375" cy="3295650"/>
            <wp:effectExtent t="0" r="0" b="0" l="0"/>
            <wp:docPr id="1" name="d_secuencia_banco.jpg" descr="Secuencia de un pago por transferencia con sus tres resultados posibles." title="Secuencia de un pago por transferencia con sus tres resultados posib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8.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Secuencia de un pago por transferencia con sus tres resultados posibles.</w:t>
      </w:r>
    </w:p>
    <w:p>
      <w:pPr>
        <w:pStyle w:val="Heading2"/>
      </w:pPr>
      <w:r>
        <w:t xml:space="preserve">9.4 Demostración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el frontend: Tesorería abre una cuenta por pagar, elige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Transferencia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confirma banco y cuenta destino y presiona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Pagar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El resultado (aprobado con autorización o rechazado con el motivo del banco) aparece en pantalla y en el historial de pagos. En Postman, la carpeta *3. Cuentas por pagar y pagos (API bancaria)* contiene los casos de éxito y error.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029075"/>
            <wp:effectExtent t="0" r="0" b="0" l="0"/>
            <wp:docPr id="1" name="30_pago_transferencia_aprobada.jpg" descr="Pago por transferencia aprobado por la API bancaria con su número de autorización." title="Pago por transferencia aprobado por la API bancaria con su número de autor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9.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Pago por transferencia aprobado por la API bancaria con su número de autorización.</w:t>
      </w:r>
    </w:p>
    <w:p>
      <w:pPr>
        <w:pStyle w:val="Heading1"/>
        <w:pageBreakBefore/>
      </w:pPr>
      <w:r>
        <w:t xml:space="preserve">10. Pruebas automatizadas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3386"/>
        <w:gridCol w:w="2191"/>
        <w:gridCol w:w="1592"/>
      </w:tblGrid>
      <w:tr>
        <w:trPr>
          <w:tblHeader/>
        </w:trP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Ubicación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Cómo ejecutar</w:t>
            </w:r>
          </w:p>
        </w:tc>
        <w:tc>
          <w:tcPr>
            <w:tcW w:type="dxa" w:w="15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Reglas en base de datos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database/tests/01_pruebas_reglas_negocio.sql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SSMS → F5</w:t>
            </w:r>
          </w:p>
        </w:tc>
        <w:tc>
          <w:tcPr>
            <w:tcW w:type="dxa" w:w="15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29 de 29 PASÓ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Verificación de objetos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database/tests/02_verificar_objetos.sql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SSMS → F5</w:t>
            </w:r>
          </w:p>
        </w:tc>
        <w:tc>
          <w:tcPr>
            <w:tcW w:type="dxa" w:w="15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0 faltantes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API (Postman)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docs/postman/*.postman_collection.json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Postman → Run collection</w:t>
            </w:r>
          </w:p>
        </w:tc>
        <w:tc>
          <w:tcPr>
            <w:tcW w:type="dxa" w:w="15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74 solicitudes, 177 de 177 pruebas</w:t>
            </w:r>
          </w:p>
        </w:tc>
      </w:tr>
      <w:tr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Extremo a extremo (E2E)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frontend/LaPromesa.Web/e2e/capturas.mjs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Doble clic en e2e/ejecutar-pruebas-e2e.bat</w:t>
            </w:r>
          </w:p>
        </w:tc>
        <w:tc>
          <w:tcPr>
            <w:tcW w:type="dxa" w:w="15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57 de 57 pruebas, 46 capturas</w:t>
            </w:r>
          </w:p>
        </w:tc>
      </w:tr>
    </w:tbl>
    <w:p>
      <w:pPr>
        <w:spacing w:after="160"/>
      </w:pP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 detalle de cada caso, con capturas, está en el documento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Evidencias de pruebas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Heading1"/>
      </w:pPr>
      <w:r>
        <w:t xml:space="preserve">11.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8"/>
        <w:gridCol w:w="2788"/>
        <w:gridCol w:w="3784"/>
      </w:tblGrid>
      <w:tr>
        <w:trPr>
          <w:tblHeader/>
        </w:trPr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El login se queda en "Verificando…"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El contenedor de SQL Server está apagado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Abrir Docker Desktop y encender el contenedor; verificar en SSMS localhost,1435</w:t>
            </w:r>
          </w:p>
        </w:tc>
      </w:tr>
      <w:tr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"Login failed for user sa"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Contraseña distinta en la cadena de conexión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Revisar ConnectionStrings:ConexionSQL en appsettings.Development.local.json</w:t>
            </w:r>
          </w:p>
        </w:tc>
      </w:tr>
      <w:tr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"No fue posible comunicarse con la API"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Backend apagado o puerto distinto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Iniciar el perfil API + Banco simulado; revisar VITE_API_URL</w:t>
            </w:r>
          </w:p>
        </w:tc>
      </w:tr>
      <w:tr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Error de CORS en el navegador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El frontend no corre en el puerto 5173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Usar npm run dev (puerto fijo 5173) o agregar el origen en Frontend:Url</w:t>
            </w:r>
          </w:p>
        </w:tc>
      </w:tr>
      <w:tr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Pagos quedan Pendiente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BancoSimulado.API apagado o Banco:ApiKey distinta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Iniciar el banco y usar la misma clave en ambos proyectos; luego "Consultar al banco"</w:t>
            </w:r>
          </w:p>
        </w:tc>
      </w:tr>
      <w:tr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Error de SQLCMD en 00_ejecutar_todo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Modo SQLCMD desactivado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Consulta → Modo SQLCMD y volver a ejecutar</w:t>
            </w:r>
          </w:p>
        </w:tc>
      </w:tr>
      <w:tr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"El registro fue modificado por otro usuario"</w:t>
            </w:r>
          </w:p>
        </w:tc>
        <w:tc>
          <w:tcPr>
            <w:tcW w:type="dxa" w:w="2788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Concurrencia (RowVersion)</w:t>
            </w:r>
          </w:p>
        </w:tc>
        <w:tc>
          <w:tcPr>
            <w:tcW w:type="dxa" w:w="378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Recargar la pantalla y repetir el cambio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12. Uso de agentes de IA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 desarrollo se apoyó en un agente de IA con los archivos solicitados por el proyecto. Cada archivo corresponde a este sistema y se actualizó durante el trabajo: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6"/>
        <w:gridCol w:w="6174"/>
      </w:tblGrid>
      <w:tr>
        <w:trPr>
          <w:tblHeader/>
        </w:trPr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617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AGENTS.md</w:t>
            </w:r>
          </w:p>
        </w:tc>
        <w:tc>
          <w:tcPr>
            <w:tcW w:type="dxa" w:w="617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Contexto del proyecto, reglas de trabajo, seguridad, tablas temporales y convenciones de base de datos.</w:t>
            </w:r>
          </w:p>
        </w:tc>
      </w:tr>
      <w:tr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.ai/skills/compras-proveedores/SKILL.md</w:t>
            </w:r>
          </w:p>
        </w:tc>
        <w:tc>
          <w:tcPr>
            <w:tcW w:type="dxa" w:w="617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Pasos para desarrollar y probar los módulos Proveedores y Compras.</w:t>
            </w:r>
          </w:p>
        </w:tc>
      </w:tr>
      <w:tr>
        <w:tc>
          <w:tcPr>
            <w:tcW w:type="dxa" w:w="31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memoria.md</w:t>
            </w:r>
          </w:p>
        </w:tc>
        <w:tc>
          <w:tcPr>
            <w:tcW w:type="dxa" w:w="6174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Decisiones y resultados verificados por fecha (base de datos, backend, Postman, frontend, pruebas).</w:t>
            </w:r>
          </w:p>
        </w:tc>
      </w:tr>
    </w:tbl>
    <w:p>
      <w:pPr>
        <w:spacing w:after="16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300" w:left="1440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B7E"/>
        <w:sz w:val="17"/>
        <w:szCs w:val="17"/>
      </w:rPr>
      <w:t xml:space="preserve">Módulos Proveedores y Compras · Página </w:t>
    </w:r>
    <w:r>
      <w:rPr>
        <w:rFonts w:ascii="Calibri" w:cs="Calibri" w:eastAsia="Calibri" w:hAnsi="Calibri"/>
        <w:color w:val="5F6B7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CEDB" w:sz="4" w:space="4"/>
      </w:pBdr>
      <w:jc w:val="right"/>
    </w:pPr>
    <w:r>
      <w:rPr>
        <w:rFonts w:ascii="Calibri" w:cs="Calibri" w:eastAsia="Calibri" w:hAnsi="Calibri"/>
        <w:color w:val="5F6B7E"/>
        <w:sz w:val="17"/>
        <w:szCs w:val="17"/>
      </w:rPr>
      <w:t xml:space="preserve">La Promesa ERP · </w:t>
    </w:r>
    <w:r>
      <w:rPr>
        <w:rFonts w:ascii="Calibri" w:cs="Calibri" w:eastAsia="Calibri" w:hAnsi="Calibri"/>
        <w:b/>
        <w:bCs/>
        <w:color w:val="1F2D5C"/>
        <w:sz w:val="17"/>
        <w:szCs w:val="17"/>
      </w:rPr>
      <w:t xml:space="preserve">Manual técnico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3A72F" w:sz="8" w:space="6"/>
      </w:pBdr>
      <w:spacing w:after="200" w:before="120"/>
      <w:outlineLvl w:val="0"/>
    </w:pPr>
    <w:rPr>
      <w:rFonts w:ascii="Calibri" w:cs="Calibri" w:eastAsia="Calibri" w:hAnsi="Calibri"/>
      <w:b/>
      <w:bCs/>
      <w:color w:val="1F2D5C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1F2D5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20"/>
      <w:outlineLvl w:val="2"/>
    </w:pPr>
    <w:rPr>
      <w:rFonts w:ascii="Calibri" w:cs="Calibri" w:eastAsia="Calibri" w:hAnsi="Calibri"/>
      <w:b/>
      <w:bCs/>
      <w:color w:val="2B3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aeef9a3d458e479da07d94e5d43d298b7406402.jpg"/><Relationship Id="rId12" Type="http://schemas.openxmlformats.org/officeDocument/2006/relationships/image" Target="media/6b8a0d4cb46efc4c180e6d9699a16b4c1a2e35e8.jpg"/><Relationship Id="rId13" Type="http://schemas.openxmlformats.org/officeDocument/2006/relationships/image" Target="media/3f1a92b569da7aecf073f59c03cb5d9e05ac44c5.jpg"/><Relationship Id="rId14" Type="http://schemas.openxmlformats.org/officeDocument/2006/relationships/image" Target="media/4c7014babd8b09b9c78aa5387284d9e9b6541a85.jpg"/><Relationship Id="rId15" Type="http://schemas.openxmlformats.org/officeDocument/2006/relationships/image" Target="media/e11d86b0d103a00613897af0f898ed9dff41d5ba.jpg"/><Relationship Id="rId16" Type="http://schemas.openxmlformats.org/officeDocument/2006/relationships/image" Target="media/eae786f2cf22b5a246d61ca43b7289170a2749ba.jpg"/><Relationship Id="rId17" Type="http://schemas.openxmlformats.org/officeDocument/2006/relationships/image" Target="media/4683e0425f592f2b64c2f60f9b092fc3176db6ba.jpg"/><Relationship Id="rId18" Type="http://schemas.openxmlformats.org/officeDocument/2006/relationships/image" Target="media/e05a7b5b6ecbcb39cfb34e65101ca7a968452903.jpg"/><Relationship Id="rId19" Type="http://schemas.openxmlformats.org/officeDocument/2006/relationships/image" Target="media/e096494ccd0558d7b84f4cffcc11c9e2e93af7e8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</dc:title>
  <dc:creator>La Promesa ERP</dc:creator>
  <dc:description>Manual técnico</dc:description>
  <cp:lastModifiedBy>Un-named</cp:lastModifiedBy>
  <cp:revision>1</cp:revision>
  <dcterms:created xsi:type="dcterms:W3CDTF">2026-10-24T22:36:53.855Z</dcterms:created>
  <dcterms:modified xsi:type="dcterms:W3CDTF">2026-10-24T22:36:53.855Z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