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i w:val="0"/>
          <w:sz w:val="24"/>
        </w:rPr>
        <w:t>T.C.</w:t>
      </w:r>
    </w:p>
    <w:p>
      <w:pPr>
        <w:spacing w:after="120"/>
        <w:jc w:val="center"/>
      </w:pPr>
      <w:r>
        <w:rPr>
          <w:rFonts w:ascii="Times New Roman" w:hAnsi="Times New Roman" w:eastAsia="Times New Roman"/>
          <w:b/>
          <w:i w:val="0"/>
          <w:sz w:val="28"/>
        </w:rPr>
        <w:t>MARMARA ÜNİVERSİTESİ</w:t>
      </w:r>
    </w:p>
    <w:p>
      <w:pPr>
        <w:spacing w:after="120"/>
        <w:jc w:val="center"/>
      </w:pPr>
      <w:r>
        <w:rPr>
          <w:rFonts w:ascii="Times New Roman" w:hAnsi="Times New Roman" w:eastAsia="Times New Roman"/>
          <w:b/>
          <w:i w:val="0"/>
          <w:sz w:val="32"/>
        </w:rPr>
        <w:t>TEZ ÖNERİSİ FORMU</w:t>
      </w:r>
    </w:p>
    <w:p>
      <w:pPr>
        <w:jc w:val="center"/>
      </w:pPr>
      <w:r>
        <w:rPr>
          <w:rFonts w:ascii="Times New Roman" w:hAnsi="Times New Roman" w:eastAsia="Times New Roman"/>
          <w:b w:val="0"/>
          <w:i/>
          <w:sz w:val="20"/>
        </w:rPr>
        <w:t>Bankacılık Sektörü Müşteri Şikayet Analizi — Metin Madenciliği ve Makine Öğrenmesi (2026)</w:t>
      </w:r>
    </w:p>
    <w:p>
      <w:pPr>
        <w:spacing w:before="240" w:after="120"/>
      </w:pPr>
      <w:r>
        <w:rPr>
          <w:rFonts w:ascii="Times New Roman" w:hAnsi="Times New Roman" w:eastAsia="Times New Roman"/>
          <w:b/>
          <w:i w:val="0"/>
          <w:sz w:val="24"/>
        </w:rPr>
        <w:t>i. ÖĞRENCİ BİLGİLERİ / STUDENT INFORMATION</w:t>
      </w:r>
    </w:p>
    <w:tbl>
      <w:tblPr>
        <w:tblStyle w:val="TableGrid"/>
        <w:tblW w:type="auto" w:w="0"/>
        <w:tblLook w:firstColumn="1" w:firstRow="1" w:lastColumn="0" w:lastRow="0" w:noHBand="0" w:noVBand="1" w:val="04A0"/>
      </w:tblPr>
      <w:tblGrid>
        <w:gridCol w:w="4844"/>
        <w:gridCol w:w="4844"/>
      </w:tblGrid>
      <w:tr>
        <w:tc>
          <w:tcPr>
            <w:tcW w:type="dxa" w:w="4844"/>
          </w:tcPr>
          <w:p>
            <w:r/>
            <w:r>
              <w:rPr>
                <w:rFonts w:ascii="Times New Roman" w:hAnsi="Times New Roman" w:eastAsia="Times New Roman"/>
                <w:b/>
                <w:i w:val="0"/>
                <w:sz w:val="20"/>
              </w:rPr>
              <w:t>Ad Soyadı / Name–Surname:</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TC Kimlik Numarası / Identity Number:</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Öğrenci Numarası / Student Number:</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Anabilim Dalı / Department:</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Programı / Program:</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Program Dili / Language of Program:</w:t>
            </w:r>
          </w:p>
        </w:tc>
        <w:tc>
          <w:tcPr>
            <w:tcW w:type="dxa" w:w="4844"/>
          </w:tcPr>
          <w:p>
            <w:r/>
            <w:r>
              <w:rPr>
                <w:rFonts w:ascii="Times New Roman" w:hAnsi="Times New Roman" w:eastAsia="Times New Roman"/>
                <w:b w:val="0"/>
                <w:i w:val="0"/>
                <w:sz w:val="20"/>
              </w:rPr>
              <w:t>Türkçe / Turkish</w:t>
            </w:r>
          </w:p>
        </w:tc>
      </w:tr>
      <w:tr>
        <w:tc>
          <w:tcPr>
            <w:tcW w:type="dxa" w:w="4844"/>
          </w:tcPr>
          <w:p>
            <w:r/>
            <w:r>
              <w:rPr>
                <w:rFonts w:ascii="Times New Roman" w:hAnsi="Times New Roman" w:eastAsia="Times New Roman"/>
                <w:b/>
                <w:i w:val="0"/>
                <w:sz w:val="20"/>
              </w:rPr>
              <w:t>E-Posta / E-Mail:</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Telefon / Phone Number:</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Adres / Address:</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Tez Danışmanı / Supervisor:</w:t>
            </w:r>
          </w:p>
        </w:tc>
        <w:tc>
          <w:tcPr>
            <w:tcW w:type="dxa" w:w="4844"/>
          </w:tcPr>
          <w:p>
            <w:r/>
            <w:r>
              <w:rPr>
                <w:rFonts w:ascii="Times New Roman" w:hAnsi="Times New Roman" w:eastAsia="Times New Roman"/>
                <w:b w:val="0"/>
                <w:i w:val="0"/>
                <w:sz w:val="20"/>
              </w:rPr>
              <w:t>[Doldurulacak]</w:t>
            </w:r>
          </w:p>
        </w:tc>
      </w:tr>
      <w:tr>
        <w:tc>
          <w:tcPr>
            <w:tcW w:type="dxa" w:w="4844"/>
          </w:tcPr>
          <w:p>
            <w:r/>
            <w:r>
              <w:rPr>
                <w:rFonts w:ascii="Times New Roman" w:hAnsi="Times New Roman" w:eastAsia="Times New Roman"/>
                <w:b/>
                <w:i w:val="0"/>
                <w:sz w:val="20"/>
              </w:rPr>
              <w:t>İkinci Tez Danışmanı / Co-Supervisor:</w:t>
            </w:r>
          </w:p>
        </w:tc>
        <w:tc>
          <w:tcPr>
            <w:tcW w:type="dxa" w:w="4844"/>
          </w:tcPr>
          <w:p>
            <w:r/>
            <w:r>
              <w:rPr>
                <w:rFonts w:ascii="Times New Roman" w:hAnsi="Times New Roman" w:eastAsia="Times New Roman"/>
                <w:b w:val="0"/>
                <w:i w:val="0"/>
                <w:sz w:val="20"/>
              </w:rPr>
              <w:t>[Varsa doldurulacak]</w:t>
            </w:r>
          </w:p>
        </w:tc>
      </w:tr>
    </w:tbl>
    <w:p>
      <w:pPr>
        <w:spacing w:before="240" w:after="120"/>
      </w:pPr>
      <w:r>
        <w:rPr>
          <w:rFonts w:ascii="Times New Roman" w:hAnsi="Times New Roman" w:eastAsia="Times New Roman"/>
          <w:b/>
          <w:i w:val="0"/>
          <w:sz w:val="24"/>
        </w:rPr>
        <w:t>ii. TEZ BİLGİLERİ / THESIS INFORMATION</w:t>
      </w:r>
    </w:p>
    <w:p>
      <w:pPr>
        <w:spacing w:before="160" w:after="120"/>
      </w:pPr>
      <w:r>
        <w:rPr>
          <w:rFonts w:ascii="Times New Roman" w:hAnsi="Times New Roman" w:eastAsia="Times New Roman"/>
          <w:b/>
          <w:i w:val="0"/>
          <w:sz w:val="22"/>
        </w:rPr>
        <w:t>Türkçe Tez Başlığı / Title of Thesis in Turkish</w:t>
      </w:r>
    </w:p>
    <w:p>
      <w:pPr>
        <w:spacing w:line="276" w:lineRule="auto" w:after="120"/>
        <w:jc w:val="both"/>
      </w:pPr>
      <w:r>
        <w:rPr>
          <w:rFonts w:ascii="Times New Roman" w:hAnsi="Times New Roman" w:eastAsia="Times New Roman"/>
          <w:b w:val="0"/>
          <w:i w:val="0"/>
          <w:sz w:val="22"/>
        </w:rPr>
        <w:t>Bankacılık Sektöründe Çevrimiçi Müşteri Şikayetlerinin Metin Madenciliği ve Makine Öğrenmesi Teknikleri ile İncelenmesi: Kuveyt Türk, VakıfBank ve İşBankası Üzerine Karşılaştırmalı Bir Araştırma</w:t>
      </w:r>
    </w:p>
    <w:p>
      <w:pPr>
        <w:spacing w:before="160" w:after="120"/>
      </w:pPr>
      <w:r>
        <w:rPr>
          <w:rFonts w:ascii="Times New Roman" w:hAnsi="Times New Roman" w:eastAsia="Times New Roman"/>
          <w:b/>
          <w:i w:val="0"/>
          <w:sz w:val="22"/>
        </w:rPr>
        <w:t>Türkçe Tez Önerisi Özeti</w:t>
      </w:r>
    </w:p>
    <w:p>
      <w:pPr>
        <w:spacing w:line="276" w:lineRule="auto" w:after="120"/>
        <w:ind w:firstLine="567"/>
        <w:jc w:val="both"/>
      </w:pPr>
      <w:r>
        <w:rPr>
          <w:rFonts w:ascii="Times New Roman" w:hAnsi="Times New Roman" w:eastAsia="Times New Roman"/>
          <w:b w:val="0"/>
          <w:i w:val="0"/>
          <w:sz w:val="22"/>
        </w:rPr>
        <w:t>Bu tez çalışmasının amacı, Türkiye’de faaliyet gösteren üç bankaya (katılım bankası olarak Kuveyt Türk, kamu bankası olarak VakıfBank ve özel banka olarak İşBankası) yönelik Şikayetvar platformunda yayımlanan çevrimiçi müşteri şikayetlerini Doğal Dil İşleme (NLP), konu modelleme ve denetimli makine öğrenmesi teknikleriyle analiz ederek bankalar arası müşteri deneyimi dinamiklerini karşılaştırmalı biçimde ortaya koymaktır. Çalışma, büyük hacimli Türkçe şikayet metinlerinden otomatik konu çıkarımı yapmak, şikayetlerin çözülme durumunu tahmin eden sınıflandırma modelleri geliştirmek ve elde edilen bulguları istatistiksel hipotez testleriyle desteklemek üzere tasarlanmıştır.</w:t>
      </w:r>
    </w:p>
    <w:p>
      <w:pPr>
        <w:spacing w:line="276" w:lineRule="auto" w:after="120"/>
        <w:ind w:firstLine="567"/>
        <w:jc w:val="both"/>
      </w:pPr>
      <w:r>
        <w:rPr>
          <w:rFonts w:ascii="Times New Roman" w:hAnsi="Times New Roman" w:eastAsia="Times New Roman"/>
          <w:b w:val="0"/>
          <w:i w:val="0"/>
          <w:sz w:val="22"/>
        </w:rPr>
        <w:t>Araştırmanın veri kaynağı, Şikayetvar üzerinde 2026 yılına ait banka şikayetleridir. Mevcut proje veri setinde Ocak–Nisan 2026 döneminde toplanmış yaklaşık 6.396 ham şikayet kaydı bulunmakta; ön işleme sonrasında analiz için yaklaşık 6.033 temiz kayıt kullanılmaktadır (İşBankası ~3.620, Kuveyt Türk ~1.657, VakıfBank ~756). Her kayıt; şikayet başlığı ve tam metin, tarih, çözüm durumu (Çözüldü/Çözülmedi), memnuniyet skoru (1–5), anahtar kelimeler, görüntülenme sayısı, şirket yanıtı ve URL gibi meta alanları içermektedir. Veriler web scraping ile toplanmış, ardından altı adımlı analiz boru hattı (kurulum, keşifsel veri analizi, Türkçe metin ön işleme, LDA konu modelleme, TF-IDF + makine öğrenmesi, karşılaştırmalı hipotez raporlama) ile işlenmiştir.</w:t>
      </w:r>
    </w:p>
    <w:p>
      <w:pPr>
        <w:spacing w:line="276" w:lineRule="auto" w:after="120"/>
        <w:ind w:firstLine="567"/>
        <w:jc w:val="both"/>
      </w:pPr>
      <w:r>
        <w:rPr>
          <w:rFonts w:ascii="Times New Roman" w:hAnsi="Times New Roman" w:eastAsia="Times New Roman"/>
          <w:b w:val="0"/>
          <w:i w:val="0"/>
          <w:sz w:val="22"/>
        </w:rPr>
        <w:t>Yöntemsel olarak çalışma şu ana hatları izler: (1) kapsamlı Türkçe stop-word listesi, tokenizasyon ve Snowball kök bulma ile metin temizliği; (2) banka bazında eş anlamlı şikayet kategorilerinin birleştirilmesi ve keşifsel görselleştirme; (3) Gensim LDA ile banka özelinde optimal konu sayısı araması (coherence + perplexity) ve bigram tespiti; (4) TF-IDF (unigram+bigram, 10.000 özellik) ile birlikte meta özellikler (metin uzunluğu, log görüntülenme, şirket yanıtı varlığı) kullanılarak Lojistik Regresyon, Random Forest ve doğrusal SVM modellerinin eğitimi; (5) Accuracy, Precision, Recall, F1, ROC-AUC ve 5-kat çapraz doğrulama ile performans değerlendirmesi; (6) H1–H5 hipotezlerinin Mann-Whitney U, Spearman korelasyon, trend regresyonu ve konu dağılımı karşılaştırmaları ile testi.</w:t>
      </w:r>
    </w:p>
    <w:p>
      <w:pPr>
        <w:spacing w:line="276" w:lineRule="auto" w:after="120"/>
        <w:ind w:firstLine="567"/>
        <w:jc w:val="both"/>
      </w:pPr>
      <w:r>
        <w:rPr>
          <w:rFonts w:ascii="Times New Roman" w:hAnsi="Times New Roman" w:eastAsia="Times New Roman"/>
          <w:b w:val="0"/>
          <w:i w:val="0"/>
          <w:sz w:val="22"/>
        </w:rPr>
        <w:t>Kuramsal çerçeve; hizmet kalitesi (SERVQUAL), müşteri memnuniyeti (beklenti–algı), dijital itibar yönetimi ve veri temelli karar verme yaklaşımlarına dayanmaktadır. Çalışmanın özgün değeri, farklı bankacılık modellerini (katılım–kamu–özel) aynı açık veri kaynağı ve bütünleşik NLP–ML metodolojisi ile karşılaştırması; betimleyici konu modellemeyi öngörücü çözüm tahmini ile birleştirmesi ve çarpık memnuniyet dağılımında medyan merkezli istatistik politikası ile metodolojik tutarlılık sağlamasıdır. Bilimsel katkı olarak Türkçe bankacılık şikayet analizine ampirik bir çerçeve sunulması; uygulamalı katkı olarak ise bankalara konu bazlı erken uyarı, yanıt performansı ve çözüm tahmini içgörüleri üretilmesi hedeflenmektedir.</w:t>
      </w:r>
    </w:p>
    <w:p>
      <w:pPr>
        <w:spacing w:before="160" w:after="120"/>
      </w:pPr>
      <w:r>
        <w:rPr>
          <w:rFonts w:ascii="Times New Roman" w:hAnsi="Times New Roman" w:eastAsia="Times New Roman"/>
          <w:b/>
          <w:i w:val="0"/>
          <w:sz w:val="22"/>
        </w:rPr>
        <w:t>Türkçe Anahtar Kelimeler / Keywords in Turkish</w:t>
      </w:r>
    </w:p>
    <w:p>
      <w:pPr>
        <w:spacing w:line="276" w:lineRule="auto" w:after="120"/>
        <w:jc w:val="both"/>
      </w:pPr>
      <w:r>
        <w:rPr>
          <w:rFonts w:ascii="Times New Roman" w:hAnsi="Times New Roman" w:eastAsia="Times New Roman"/>
          <w:b w:val="0"/>
          <w:i w:val="0"/>
          <w:sz w:val="22"/>
        </w:rPr>
        <w:t>Metin Madenciliği; Doğal Dil İşleme; Makine Öğrenmesi; Bankacılık Sektörü; Müşteri Şikayetleri; Konu Modelleme; LDA; TF-IDF; Sınıflandırma; Müşteri Memnuniyeti; Şikayetvar; Karşılaştırmalı Analiz; Karar Destek; Dijital Bankacılık; Kuveyt Türk; VakıfBank; İşBankası</w:t>
      </w:r>
    </w:p>
    <w:p>
      <w:pPr>
        <w:spacing w:before="200" w:after="120"/>
      </w:pPr>
      <w:r>
        <w:rPr>
          <w:rFonts w:ascii="Times New Roman" w:hAnsi="Times New Roman" w:eastAsia="Times New Roman"/>
          <w:b/>
          <w:i w:val="0"/>
          <w:sz w:val="22"/>
        </w:rPr>
        <w:t>İngilizce Tez Başlığı / Title of Thesis in English</w:t>
      </w:r>
    </w:p>
    <w:p>
      <w:pPr>
        <w:spacing w:line="276" w:lineRule="auto" w:after="120"/>
        <w:jc w:val="both"/>
      </w:pPr>
      <w:r>
        <w:rPr>
          <w:rFonts w:ascii="Times New Roman" w:hAnsi="Times New Roman" w:eastAsia="Times New Roman"/>
          <w:b w:val="0"/>
          <w:i w:val="0"/>
          <w:sz w:val="22"/>
        </w:rPr>
        <w:t>Analyzing Online Customer Complaints in the Banking Sector Using Text Mining and Machine Learning Techniques: A Comparative Study of Kuveyt Türk, VakıfBank and İşBankası</w:t>
      </w:r>
    </w:p>
    <w:p>
      <w:pPr>
        <w:spacing w:before="160" w:after="120"/>
      </w:pPr>
      <w:r>
        <w:rPr>
          <w:rFonts w:ascii="Times New Roman" w:hAnsi="Times New Roman" w:eastAsia="Times New Roman"/>
          <w:b/>
          <w:i w:val="0"/>
          <w:sz w:val="22"/>
        </w:rPr>
        <w:t>İngilizce Tez Önerisi Özeti</w:t>
      </w:r>
    </w:p>
    <w:p>
      <w:pPr>
        <w:spacing w:line="276" w:lineRule="auto" w:after="120"/>
        <w:ind w:firstLine="567"/>
        <w:jc w:val="both"/>
      </w:pPr>
      <w:r>
        <w:rPr>
          <w:rFonts w:ascii="Times New Roman" w:hAnsi="Times New Roman" w:eastAsia="Times New Roman"/>
          <w:b w:val="0"/>
          <w:i w:val="0"/>
          <w:sz w:val="22"/>
        </w:rPr>
        <w:t>The aim of this thesis is to analyze online customer complaints published on the Şikayetvar platform for three banks operating in Türkiye—Kuveyt Türk (participation bank), VakıfBank (state-owned bank), and İşBankası (private bank)—by applying Natural Language Processing (NLP), topic modeling, and supervised machine learning, and to compare customer experience dynamics across institutions. The study is designed to automatically extract complaint topics from large-scale Turkish text, develop classification models that predict complaint resolution status, and support findings with statistical hypothesis testing.</w:t>
      </w:r>
    </w:p>
    <w:p>
      <w:pPr>
        <w:spacing w:line="276" w:lineRule="auto" w:after="120"/>
        <w:ind w:firstLine="567"/>
        <w:jc w:val="both"/>
      </w:pPr>
      <w:r>
        <w:rPr>
          <w:rFonts w:ascii="Times New Roman" w:hAnsi="Times New Roman" w:eastAsia="Times New Roman"/>
          <w:b w:val="0"/>
          <w:i w:val="0"/>
          <w:sz w:val="22"/>
        </w:rPr>
        <w:t>The data source consists of bank-related complaints from Şikayetvar for 2026. The current project dataset covers January–April 2026 and contains approximately 6,396 raw complaint records; after preprocessing, about 6,033 cleaned records are used for analysis (İşBankası ~3,620; Kuveyt Türk ~1,657; VakıfBank ~756). Each record includes complaint title and full text, date, resolution status (Resolved/Unresolved), satisfaction score (1–5), keywords, view count, company reply, and URL. Data are collected via web scraping and processed through a six-step analytical pipeline: environment setup, exploratory data analysis, Turkish text preprocessing, LDA topic modeling, TF-IDF with machine learning, and comparative hypothesis reporting.</w:t>
      </w:r>
    </w:p>
    <w:p>
      <w:pPr>
        <w:spacing w:line="276" w:lineRule="auto" w:after="120"/>
        <w:ind w:firstLine="567"/>
        <w:jc w:val="both"/>
      </w:pPr>
      <w:r>
        <w:rPr>
          <w:rFonts w:ascii="Times New Roman" w:hAnsi="Times New Roman" w:eastAsia="Times New Roman"/>
          <w:b w:val="0"/>
          <w:i w:val="0"/>
          <w:sz w:val="22"/>
        </w:rPr>
        <w:t>Methodologically, the thesis follows these core steps: (1) Turkish stop-word filtering, tokenization, and Snowball stemming; (2) bank-specific synonym merging of complaint categories and exploratory visualization; (3) Gensim LDA with per-bank optimal topic search using coherence and perplexity, including bigram detection; (4) TF-IDF representation (unigram+bigram, 10,000 features) combined with meta-features (token length, log view count, company reply indicator) to train Logistic Regression, Random Forest, and Linear SVM models with class balancing; (5) evaluation via Accuracy, Precision, Recall, F1, ROC-AUC, and 5-fold cross-validation; and (6) testing hypotheses H1–H5 using Mann–Whitney U, Spearman correlation, trend regression, and topic-distribution comparison.</w:t>
      </w:r>
    </w:p>
    <w:p>
      <w:pPr>
        <w:spacing w:line="276" w:lineRule="auto" w:after="120"/>
        <w:ind w:firstLine="567"/>
        <w:jc w:val="both"/>
      </w:pPr>
      <w:r>
        <w:rPr>
          <w:rFonts w:ascii="Times New Roman" w:hAnsi="Times New Roman" w:eastAsia="Times New Roman"/>
          <w:b w:val="0"/>
          <w:i w:val="0"/>
          <w:sz w:val="22"/>
        </w:rPr>
        <w:t>The theoretical framework draws on service quality (SERVQUAL), customer satisfaction (expectation–perception), digital reputation management, and data-driven decision making. The originality of the study lies in comparing three distinct banking models (participation–public–private) under a unified open-data NLP–ML methodology; integrating descriptive topic modeling with predictive resolution classification; and adopting a median-based central-tendency policy for highly skewed satisfaction scores. Scientifically, the thesis contributes an empirical framework for Turkish banking complaint analytics; practically, it aims to provide banks with topic-level early-warning signals, reply-performance insights, and resolution-prediction support for customer experience management.</w:t>
      </w:r>
    </w:p>
    <w:p>
      <w:pPr>
        <w:spacing w:before="160" w:after="120"/>
      </w:pPr>
      <w:r>
        <w:rPr>
          <w:rFonts w:ascii="Times New Roman" w:hAnsi="Times New Roman" w:eastAsia="Times New Roman"/>
          <w:b/>
          <w:i w:val="0"/>
          <w:sz w:val="22"/>
        </w:rPr>
        <w:t>İngilizce Anahtar Kelimeler / Keywords in English</w:t>
      </w:r>
    </w:p>
    <w:p>
      <w:pPr>
        <w:spacing w:line="276" w:lineRule="auto" w:after="120"/>
        <w:jc w:val="both"/>
      </w:pPr>
      <w:r>
        <w:rPr>
          <w:rFonts w:ascii="Times New Roman" w:hAnsi="Times New Roman" w:eastAsia="Times New Roman"/>
          <w:b w:val="0"/>
          <w:i w:val="0"/>
          <w:sz w:val="22"/>
        </w:rPr>
        <w:t>Text Mining; Natural Language Processing; Machine Learning; Banking Sector; Customer Complaints; Topic Modeling; LDA; TF-IDF; Classification; Customer Satisfaction; Şikayetvar; Comparative Analysis; Decision Support; Digital Banking; Kuveyt Türk; VakıfBank; İşBankası</w:t>
      </w:r>
    </w:p>
    <w:p>
      <w:pPr>
        <w:spacing w:before="280" w:after="120"/>
      </w:pPr>
      <w:r>
        <w:rPr>
          <w:rFonts w:ascii="Times New Roman" w:hAnsi="Times New Roman" w:eastAsia="Times New Roman"/>
          <w:b/>
          <w:i w:val="0"/>
          <w:sz w:val="24"/>
        </w:rPr>
        <w:t>1. AMAÇ ve HEDEFLER / AIM AND OBJECTIVES</w:t>
      </w:r>
    </w:p>
    <w:p>
      <w:pPr>
        <w:spacing w:before="120" w:after="120"/>
      </w:pPr>
      <w:r>
        <w:rPr>
          <w:rFonts w:ascii="Times New Roman" w:hAnsi="Times New Roman" w:eastAsia="Times New Roman"/>
          <w:b/>
          <w:i w:val="0"/>
          <w:sz w:val="22"/>
        </w:rPr>
        <w:t>1.1. Araştırmanın Amacı</w:t>
      </w:r>
    </w:p>
    <w:p>
      <w:pPr>
        <w:spacing w:line="276" w:lineRule="auto" w:after="120"/>
        <w:ind w:firstLine="567"/>
        <w:jc w:val="both"/>
      </w:pPr>
      <w:r>
        <w:rPr>
          <w:rFonts w:ascii="Times New Roman" w:hAnsi="Times New Roman" w:eastAsia="Times New Roman"/>
          <w:b w:val="0"/>
          <w:i w:val="0"/>
          <w:sz w:val="22"/>
        </w:rPr>
        <w:t>Bu tez çalışmasının temel amacı, bankacılık sektöründe çevrimiçi platformlarda paylaşılan müşteri şikayetlerini Doğal Dil İşleme ve Makine Öğrenmesi teknikleri kullanarak analiz etmek ve Kuveyt Türk, VakıfBank ile İşBankası’nın müşteri deneyimi performanslarını karşılaştırmalı olarak incelemektir. Araştırma, büyük hacimli Türkçe metin verilerinden otomatik olarak anlamlı bilgi üretmeyi, şikayet konularını ortaya çıkarmayı ve çözüm başarısını tahmin edebilen modeller geliştirmeyi amaçlamaktadır. Böylece bankaların müşteri memnuniyetine ilişkin güçlü ve zayıf yönleri veri temelli olarak değerlendirilebilecektir.</w:t>
      </w:r>
    </w:p>
    <w:p>
      <w:pPr>
        <w:spacing w:before="120" w:after="120"/>
      </w:pPr>
      <w:r>
        <w:rPr>
          <w:rFonts w:ascii="Times New Roman" w:hAnsi="Times New Roman" w:eastAsia="Times New Roman"/>
          <w:b/>
          <w:i w:val="0"/>
          <w:sz w:val="22"/>
        </w:rPr>
        <w:t>1.2. Araştırmanın Hedefleri</w:t>
      </w:r>
    </w:p>
    <w:p>
      <w:pPr>
        <w:spacing w:line="276" w:lineRule="auto" w:after="120"/>
        <w:jc w:val="both"/>
      </w:pPr>
      <w:r>
        <w:rPr>
          <w:rFonts w:ascii="Times New Roman" w:hAnsi="Times New Roman" w:eastAsia="Times New Roman"/>
          <w:b w:val="0"/>
          <w:i w:val="0"/>
          <w:sz w:val="22"/>
        </w:rPr>
        <w:t>Bu tez kapsamında ulaşılması hedeflenen somut ve ölçülebilir hedefler şunlardır:</w:t>
      </w:r>
    </w:p>
    <w:p>
      <w:pPr>
        <w:pStyle w:val="ListBullet"/>
        <w:spacing w:after="60"/>
      </w:pPr>
      <w:r>
        <w:rPr>
          <w:rFonts w:ascii="Times New Roman" w:hAnsi="Times New Roman" w:eastAsia="Times New Roman"/>
          <w:b w:val="0"/>
          <w:i w:val="0"/>
          <w:sz w:val="22"/>
        </w:rPr>
        <w:t>2026 yılına ait Şikayetvar şikayet verilerinin toplanması ve analiz edilebilir birleşik veri setinin oluşturulması.</w:t>
      </w:r>
    </w:p>
    <w:p>
      <w:pPr>
        <w:pStyle w:val="ListBullet"/>
        <w:spacing w:after="60"/>
      </w:pPr>
      <w:r>
        <w:rPr>
          <w:rFonts w:ascii="Times New Roman" w:hAnsi="Times New Roman" w:eastAsia="Times New Roman"/>
          <w:b w:val="0"/>
          <w:i w:val="0"/>
          <w:sz w:val="22"/>
        </w:rPr>
        <w:t>Türkçe’ye özgü kapsamlı stop-word, tokenizasyon ve kök bulma adımlarıyla temiz metin veri yapısının elde edilmesi.</w:t>
      </w:r>
    </w:p>
    <w:p>
      <w:pPr>
        <w:pStyle w:val="ListBullet"/>
        <w:spacing w:after="60"/>
      </w:pPr>
      <w:r>
        <w:rPr>
          <w:rFonts w:ascii="Times New Roman" w:hAnsi="Times New Roman" w:eastAsia="Times New Roman"/>
          <w:b w:val="0"/>
          <w:i w:val="0"/>
          <w:sz w:val="22"/>
        </w:rPr>
        <w:t>Keşifsel veri analizi ile şikayet hacmi, çözüm oranı, memnuniyet dağılımı, aylık trend ve kategori profillerinin çıkarılması.</w:t>
      </w:r>
    </w:p>
    <w:p>
      <w:pPr>
        <w:pStyle w:val="ListBullet"/>
        <w:spacing w:after="60"/>
      </w:pPr>
      <w:r>
        <w:rPr>
          <w:rFonts w:ascii="Times New Roman" w:hAnsi="Times New Roman" w:eastAsia="Times New Roman"/>
          <w:b w:val="0"/>
          <w:i w:val="0"/>
          <w:sz w:val="22"/>
        </w:rPr>
        <w:t>Banka bazında LDA konu modelleme ile optimal konu sayısının belirlenmesi ve konu–çözüm ilişkisinin incelenmesi.</w:t>
      </w:r>
    </w:p>
    <w:p>
      <w:pPr>
        <w:pStyle w:val="ListBullet"/>
        <w:spacing w:after="60"/>
      </w:pPr>
      <w:r>
        <w:rPr>
          <w:rFonts w:ascii="Times New Roman" w:hAnsi="Times New Roman" w:eastAsia="Times New Roman"/>
          <w:b w:val="0"/>
          <w:i w:val="0"/>
          <w:sz w:val="22"/>
        </w:rPr>
        <w:t>TF-IDF + meta özelliklerle Lojistik Regresyon, Random Forest ve SVM modellerinin eğitilerek çözüm durumu tahmininin yapılması.</w:t>
      </w:r>
    </w:p>
    <w:p>
      <w:pPr>
        <w:pStyle w:val="ListBullet"/>
        <w:spacing w:after="60"/>
      </w:pPr>
      <w:r>
        <w:rPr>
          <w:rFonts w:ascii="Times New Roman" w:hAnsi="Times New Roman" w:eastAsia="Times New Roman"/>
          <w:b w:val="0"/>
          <w:i w:val="0"/>
          <w:sz w:val="22"/>
        </w:rPr>
        <w:t>Modellerin Accuracy, Precision, Recall, F1, ROC-AUC ve çapraz doğrulama metrikleriyle değerlendirilmesi (H3 eşiği: ≥%70 accuracy).</w:t>
      </w:r>
    </w:p>
    <w:p>
      <w:pPr>
        <w:pStyle w:val="ListBullet"/>
        <w:spacing w:after="60"/>
      </w:pPr>
      <w:r>
        <w:rPr>
          <w:rFonts w:ascii="Times New Roman" w:hAnsi="Times New Roman" w:eastAsia="Times New Roman"/>
          <w:b w:val="0"/>
          <w:i w:val="0"/>
          <w:sz w:val="22"/>
        </w:rPr>
        <w:t>Üç banka arasında konu dağılımı, çözüm performansı, yanıt oranı ve memnuniyet ilişkilerinin istatistiksel karşılaştırılması.</w:t>
      </w:r>
    </w:p>
    <w:p>
      <w:pPr>
        <w:pStyle w:val="ListBullet"/>
        <w:spacing w:after="60"/>
      </w:pPr>
      <w:r>
        <w:rPr>
          <w:rFonts w:ascii="Times New Roman" w:hAnsi="Times New Roman" w:eastAsia="Times New Roman"/>
          <w:b w:val="0"/>
          <w:i w:val="0"/>
          <w:sz w:val="22"/>
        </w:rPr>
        <w:t>Bulguların yönetici özet panoları ve raporlarla karar destek çıktısına dönüştürülmesi.</w:t>
      </w:r>
    </w:p>
    <w:p>
      <w:pPr>
        <w:spacing w:before="120" w:after="120"/>
      </w:pPr>
      <w:r>
        <w:rPr>
          <w:rFonts w:ascii="Times New Roman" w:hAnsi="Times New Roman" w:eastAsia="Times New Roman"/>
          <w:b/>
          <w:i w:val="0"/>
          <w:sz w:val="22"/>
        </w:rPr>
        <w:t>1.3. Dayanılan Teoriler ve Modeller</w:t>
      </w:r>
    </w:p>
    <w:p>
      <w:pPr>
        <w:spacing w:line="276" w:lineRule="auto" w:after="120"/>
        <w:jc w:val="both"/>
      </w:pPr>
      <w:r>
        <w:rPr>
          <w:rFonts w:ascii="Times New Roman" w:hAnsi="Times New Roman" w:eastAsia="Times New Roman"/>
          <w:b w:val="0"/>
          <w:i w:val="0"/>
          <w:sz w:val="22"/>
        </w:rPr>
        <w:t>Araştırma aşağıdaki kuramsal ve teknik çerçevelere dayanmaktadır:</w:t>
      </w:r>
    </w:p>
    <w:p>
      <w:pPr>
        <w:pStyle w:val="ListBullet"/>
        <w:spacing w:after="60"/>
      </w:pPr>
      <w:r>
        <w:rPr>
          <w:rFonts w:ascii="Times New Roman" w:hAnsi="Times New Roman" w:eastAsia="Times New Roman"/>
          <w:b w:val="0"/>
          <w:i w:val="0"/>
          <w:sz w:val="22"/>
        </w:rPr>
        <w:t>Hizmet Kalitesi Teorisi (SERVQUAL yaklaşımı)</w:t>
      </w:r>
    </w:p>
    <w:p>
      <w:pPr>
        <w:pStyle w:val="ListBullet"/>
        <w:spacing w:after="60"/>
      </w:pPr>
      <w:r>
        <w:rPr>
          <w:rFonts w:ascii="Times New Roman" w:hAnsi="Times New Roman" w:eastAsia="Times New Roman"/>
          <w:b w:val="0"/>
          <w:i w:val="0"/>
          <w:sz w:val="22"/>
        </w:rPr>
        <w:t>Müşteri Memnuniyeti ve Beklenti–Algı Modeli</w:t>
      </w:r>
    </w:p>
    <w:p>
      <w:pPr>
        <w:pStyle w:val="ListBullet"/>
        <w:spacing w:after="60"/>
      </w:pPr>
      <w:r>
        <w:rPr>
          <w:rFonts w:ascii="Times New Roman" w:hAnsi="Times New Roman" w:eastAsia="Times New Roman"/>
          <w:b w:val="0"/>
          <w:i w:val="0"/>
          <w:sz w:val="22"/>
        </w:rPr>
        <w:t>İtibar Yönetimi ve Dijital Geri Bildirim Kuramı</w:t>
      </w:r>
    </w:p>
    <w:p>
      <w:pPr>
        <w:pStyle w:val="ListBullet"/>
        <w:spacing w:after="60"/>
      </w:pPr>
      <w:r>
        <w:rPr>
          <w:rFonts w:ascii="Times New Roman" w:hAnsi="Times New Roman" w:eastAsia="Times New Roman"/>
          <w:b w:val="0"/>
          <w:i w:val="0"/>
          <w:sz w:val="22"/>
        </w:rPr>
        <w:t>Metin Madenciliği ve Doğal Dil İşleme modelleri</w:t>
      </w:r>
    </w:p>
    <w:p>
      <w:pPr>
        <w:pStyle w:val="ListBullet"/>
        <w:spacing w:after="60"/>
      </w:pPr>
      <w:r>
        <w:rPr>
          <w:rFonts w:ascii="Times New Roman" w:hAnsi="Times New Roman" w:eastAsia="Times New Roman"/>
          <w:b w:val="0"/>
          <w:i w:val="0"/>
          <w:sz w:val="22"/>
        </w:rPr>
        <w:t>Olasılıksal Konu Modelleme (Latent Dirichlet Allocation – LDA)</w:t>
      </w:r>
    </w:p>
    <w:p>
      <w:pPr>
        <w:pStyle w:val="ListBullet"/>
        <w:spacing w:after="60"/>
      </w:pPr>
      <w:r>
        <w:rPr>
          <w:rFonts w:ascii="Times New Roman" w:hAnsi="Times New Roman" w:eastAsia="Times New Roman"/>
          <w:b w:val="0"/>
          <w:i w:val="0"/>
          <w:sz w:val="22"/>
        </w:rPr>
        <w:t>Denetimli Makine Öğrenmesi modelleri (LR, Random Forest, SVM)</w:t>
      </w:r>
    </w:p>
    <w:p>
      <w:pPr>
        <w:spacing w:before="120" w:after="120"/>
      </w:pPr>
      <w:r>
        <w:rPr>
          <w:rFonts w:ascii="Times New Roman" w:hAnsi="Times New Roman" w:eastAsia="Times New Roman"/>
          <w:b/>
          <w:i w:val="0"/>
          <w:sz w:val="22"/>
        </w:rPr>
        <w:t>1.4. Araştırma Hipotezleri</w:t>
      </w:r>
    </w:p>
    <w:p>
      <w:pPr>
        <w:spacing w:line="276" w:lineRule="auto" w:after="120"/>
        <w:jc w:val="both"/>
      </w:pPr>
      <w:r>
        <w:rPr>
          <w:rFonts w:ascii="Times New Roman" w:hAnsi="Times New Roman" w:eastAsia="Times New Roman"/>
          <w:b w:val="0"/>
          <w:i w:val="0"/>
          <w:sz w:val="22"/>
        </w:rPr>
        <w:t>Araştırma kapsamında test edilen temel hipotezler şunlardır:</w:t>
      </w:r>
    </w:p>
    <w:p>
      <w:pPr>
        <w:pStyle w:val="ListBullet"/>
        <w:spacing w:after="60"/>
      </w:pPr>
      <w:r>
        <w:rPr>
          <w:rFonts w:ascii="Times New Roman" w:hAnsi="Times New Roman" w:eastAsia="Times New Roman"/>
          <w:b w:val="0"/>
          <w:i w:val="0"/>
          <w:sz w:val="22"/>
        </w:rPr>
        <w:t>H1: Şikayet konuları bankalar arasında istatistiksel olarak anlamlı farklılık göstermektedir.</w:t>
      </w:r>
    </w:p>
    <w:p>
      <w:pPr>
        <w:pStyle w:val="ListBullet"/>
        <w:spacing w:after="60"/>
      </w:pPr>
      <w:r>
        <w:rPr>
          <w:rFonts w:ascii="Times New Roman" w:hAnsi="Times New Roman" w:eastAsia="Times New Roman"/>
          <w:b w:val="0"/>
          <w:i w:val="0"/>
          <w:sz w:val="22"/>
        </w:rPr>
        <w:t>H2: Belirli şikayet kategorileri / çözüm durumu, memnuniyet ve çözülmeme dinamikleri üzerinde anlamlı farklılık yaratmaktadır (Mann–Whitney U).</w:t>
      </w:r>
    </w:p>
    <w:p>
      <w:pPr>
        <w:pStyle w:val="ListBullet"/>
        <w:spacing w:after="60"/>
      </w:pPr>
      <w:r>
        <w:rPr>
          <w:rFonts w:ascii="Times New Roman" w:hAnsi="Times New Roman" w:eastAsia="Times New Roman"/>
          <w:b w:val="0"/>
          <w:i w:val="0"/>
          <w:sz w:val="22"/>
        </w:rPr>
        <w:t>H3: Makine öğrenmesi modelleri, şikayetlerin çözülme durumunu %70’in üzerinde doğruluk oranıyla tahmin edebilmektedir.</w:t>
      </w:r>
    </w:p>
    <w:p>
      <w:pPr>
        <w:pStyle w:val="ListBullet"/>
        <w:spacing w:after="60"/>
      </w:pPr>
      <w:r>
        <w:rPr>
          <w:rFonts w:ascii="Times New Roman" w:hAnsi="Times New Roman" w:eastAsia="Times New Roman"/>
          <w:b w:val="0"/>
          <w:i w:val="0"/>
          <w:sz w:val="22"/>
        </w:rPr>
        <w:t>H4: Şikayet yoğunluğu belirli dönemlerde anlamlı artış (veya azalış) trendleri göstermektedir.</w:t>
      </w:r>
    </w:p>
    <w:p>
      <w:pPr>
        <w:pStyle w:val="ListBullet"/>
        <w:spacing w:after="60"/>
      </w:pPr>
      <w:r>
        <w:rPr>
          <w:rFonts w:ascii="Times New Roman" w:hAnsi="Times New Roman" w:eastAsia="Times New Roman"/>
          <w:b w:val="0"/>
          <w:i w:val="0"/>
          <w:sz w:val="22"/>
        </w:rPr>
        <w:t>H5: Çözüm durumu ile müşteri memnuniyet skoru arasında pozitif yönlü anlamlı ilişki bulunmaktadır (Spearman).</w:t>
      </w:r>
    </w:p>
    <w:p>
      <w:pPr>
        <w:spacing w:line="276" w:lineRule="auto" w:after="120"/>
        <w:ind w:firstLine="567"/>
        <w:jc w:val="both"/>
      </w:pPr>
      <w:r>
        <w:rPr>
          <w:rFonts w:ascii="Times New Roman" w:hAnsi="Times New Roman" w:eastAsia="Times New Roman"/>
          <w:b w:val="0"/>
          <w:i w:val="0"/>
          <w:sz w:val="22"/>
        </w:rPr>
        <w:t>Bu amaç ve hedefler; mevcut proje boru hattında tanımlı çıktılar (temiz veri, LDA modelleri, sınıflandırıcılar, hipotez raporları ve görseller) üzerinden ölçülebilir, gerçekçi ve tez süresi içinde ulaşılabilir niteliktedir. Hedef değişken olarak çözüm durumu (is_resolved) seçilmiş; memnuniyet skoru ise çarpık dağılım nedeniyle ortalama yerine medyan merkezli istatistik politikası ile değerlendirilmiştir. Bu ayrım, hem tahmin modellerinde veri sızıntısını (leakage) önlemek hem de betimsel karşılaştırmalarda istatistiksel güvenilirliği artırmak için bilinçli bir yöntemsel tercihtir.</w:t>
      </w:r>
    </w:p>
    <w:p>
      <w:pPr>
        <w:spacing w:before="280" w:after="120"/>
      </w:pPr>
      <w:r>
        <w:rPr>
          <w:rFonts w:ascii="Times New Roman" w:hAnsi="Times New Roman" w:eastAsia="Times New Roman"/>
          <w:b/>
          <w:i w:val="0"/>
          <w:sz w:val="24"/>
        </w:rPr>
        <w:t>2. KONU, KAPSAM ve LİTERATÜR ÖZETİ / SUBJECT, SCOPE AND LITERATURE SUMMARY</w:t>
      </w:r>
    </w:p>
    <w:p>
      <w:pPr>
        <w:spacing w:before="120" w:after="120"/>
      </w:pPr>
      <w:r>
        <w:rPr>
          <w:rFonts w:ascii="Times New Roman" w:hAnsi="Times New Roman" w:eastAsia="Times New Roman"/>
          <w:b/>
          <w:i w:val="0"/>
          <w:sz w:val="22"/>
        </w:rPr>
        <w:t>2.1. Konu ve Araştırma Problemi</w:t>
      </w:r>
    </w:p>
    <w:p>
      <w:pPr>
        <w:spacing w:line="276" w:lineRule="auto" w:after="120"/>
        <w:ind w:firstLine="567"/>
        <w:jc w:val="both"/>
      </w:pPr>
      <w:r>
        <w:rPr>
          <w:rFonts w:ascii="Times New Roman" w:hAnsi="Times New Roman" w:eastAsia="Times New Roman"/>
          <w:b w:val="0"/>
          <w:i w:val="0"/>
          <w:sz w:val="22"/>
        </w:rPr>
        <w:t>Bu tez çalışmasının konusu, bankacılık sektöründe çevrimiçi platformlarda paylaşılan müşteri şikayetlerinin NLP ve makine öğrenmesi teknikleriyle analiz edilmesi ve bankalar arası karşılaştırmalı değerlendirme yapılmasıdır. Çalışma; Kuveyt Türk, VakıfBank ve İşBankası hakkında Şikayetvar’da yayımlanan 2026 yılı müşteri şikayetlerini kapsamaktadır.</w:t>
      </w:r>
    </w:p>
    <w:p>
      <w:pPr>
        <w:spacing w:line="276" w:lineRule="auto" w:after="120"/>
        <w:ind w:firstLine="567"/>
        <w:jc w:val="both"/>
      </w:pPr>
      <w:r>
        <w:rPr>
          <w:rFonts w:ascii="Times New Roman" w:hAnsi="Times New Roman" w:eastAsia="Times New Roman"/>
          <w:b w:val="0"/>
          <w:i w:val="0"/>
          <w:sz w:val="22"/>
        </w:rPr>
        <w:t>Araştırma problemi şu şekilde formüle edilmektedir: “Çevrimiçi bankacılık müşteri şikayetleri metin madenciliği ve makine öğrenmesi teknikleri kullanılarak anlamlı konulara ayrılabilir mi; çözüm başarısı tahmin edilebilir mi; katılım, kamu ve özel banka modelleri arasında müşteri deneyimi açısından anlamlı farklılıklar tespit edilebilir mi?” Bu problem, hem veri bilimi hem de hizmet yönetimi literatüründe güncel ve stratejik bir araştırma alanına karşılık gelmektedir.</w:t>
      </w:r>
    </w:p>
    <w:p>
      <w:pPr>
        <w:spacing w:before="120" w:after="120"/>
      </w:pPr>
      <w:r>
        <w:rPr>
          <w:rFonts w:ascii="Times New Roman" w:hAnsi="Times New Roman" w:eastAsia="Times New Roman"/>
          <w:b/>
          <w:i w:val="0"/>
          <w:sz w:val="22"/>
        </w:rPr>
        <w:t>2.2. Kapsam ve Sınırlar</w:t>
      </w:r>
    </w:p>
    <w:p>
      <w:pPr>
        <w:spacing w:line="276" w:lineRule="auto" w:after="120"/>
        <w:ind w:firstLine="567"/>
        <w:jc w:val="both"/>
      </w:pPr>
      <w:r>
        <w:rPr>
          <w:rFonts w:ascii="Times New Roman" w:hAnsi="Times New Roman" w:eastAsia="Times New Roman"/>
          <w:b w:val="0"/>
          <w:i w:val="0"/>
          <w:sz w:val="22"/>
        </w:rPr>
        <w:t>Çalışma, Şikayetvar platformunda ilgili üç bankaya ait 2026 yılı şikayetleriyle sınırlıdır. Mevcut ampirik veri seti Ocak–Nisan 2026 dönemini kapsamakta olup tez süreci içinde dönem genişletilebilir. Sosyal medya (Twitter/X, Instagram vb.) verileri, bankaların iç çağrı merkezi kayıtları ve operasyonel finansal veriler kapsam dışındadır. Analiz; şikayet metni ile mevcut meta veriler (çözülme durumu, memnuniyet skoru, görüntülenme, şirket yanıtı, anahtar kelimeler) üzerinden yürütülür.</w:t>
      </w:r>
    </w:p>
    <w:p>
      <w:pPr>
        <w:spacing w:before="120" w:after="120"/>
      </w:pPr>
      <w:r>
        <w:rPr>
          <w:rFonts w:ascii="Times New Roman" w:hAnsi="Times New Roman" w:eastAsia="Times New Roman"/>
          <w:b/>
          <w:i w:val="0"/>
          <w:sz w:val="22"/>
        </w:rPr>
        <w:t>2.3. Literatür Özeti ve Kuramsal Arka Plan</w:t>
      </w:r>
    </w:p>
    <w:p>
      <w:pPr>
        <w:spacing w:line="276" w:lineRule="auto" w:after="120"/>
        <w:ind w:firstLine="567"/>
        <w:jc w:val="both"/>
      </w:pPr>
      <w:r>
        <w:rPr>
          <w:rFonts w:ascii="Times New Roman" w:hAnsi="Times New Roman" w:eastAsia="Times New Roman"/>
          <w:b w:val="0"/>
          <w:i w:val="0"/>
          <w:sz w:val="22"/>
        </w:rPr>
        <w:t>Dijitalleşmenin hız kazanmasıyla müşteri deneyimi, bankacılıkta rekabet avantajını belirleyen temel unsurlardan biri haline gelmiştir. Hizmet kalitesi literatüründe Parasuraman, Zeithaml ve Berry tarafından geliştirilen SERVQUAL modeli, müşteri beklentileri ile algılanan hizmet arasındaki farkın memnuniyet üzerindeki etkisini açıklamaktadır. Günümüzde bu yaklaşım, dijital şikayet platformlarındaki geri bildirimlerin analiz edilmesiyle daha ölçülebilir hale gelmiştir.</w:t>
      </w:r>
    </w:p>
    <w:p>
      <w:pPr>
        <w:spacing w:line="276" w:lineRule="auto" w:after="120"/>
        <w:ind w:firstLine="567"/>
        <w:jc w:val="both"/>
      </w:pPr>
      <w:r>
        <w:rPr>
          <w:rFonts w:ascii="Times New Roman" w:hAnsi="Times New Roman" w:eastAsia="Times New Roman"/>
          <w:b w:val="0"/>
          <w:i w:val="0"/>
          <w:sz w:val="22"/>
        </w:rPr>
        <w:t>Metin madenciliği ve NLP teknikleri, müşteri yorumlarının analizinde yaygınlaşmıştır. TF-IDF, n-gram ve gömme yöntemleri metinlerin sayısal temsiline olanak tanırken; LDA gibi konu modelleme algoritmaları büyük metin koleksiyonlarından otomatik tema çıkarımı sağlar (Blei, Ng ve Jordan, 2003). Denetimli öğrenmede Lojistik Regresyon, Random Forest ve SVM, metin sınıflandırmada güçlü başarımlar sunmaktadır. Şikayet çözüm tahmini, literatürde complaint resolution prediction ve churn prediction çalışmalarıyla benzer bir çerçeveye sahiptir; ancak çoğu çalışma şirket içi veriye dayanmakta, açık kaynaklı çevrimiçi şikayet platformlarını yeterince kullanmamaktadır.</w:t>
      </w:r>
    </w:p>
    <w:p>
      <w:pPr>
        <w:spacing w:line="276" w:lineRule="auto" w:after="120"/>
        <w:ind w:firstLine="567"/>
        <w:jc w:val="both"/>
      </w:pPr>
      <w:r>
        <w:rPr>
          <w:rFonts w:ascii="Times New Roman" w:hAnsi="Times New Roman" w:eastAsia="Times New Roman"/>
          <w:b w:val="0"/>
          <w:i w:val="0"/>
          <w:sz w:val="22"/>
        </w:rPr>
        <w:t>Uluslararası literatürde bankacılık ve e-ticaret sektörlerinde müşteri yorumlarının duygu analizi ve konu modelleme ile incelendiği çalışmalar bulunmaktadır. Türkiye bağlamında ise özellikle katılım bankaları ile kamu ve özel bankaların aynı açık veri kaynağı üzerinden büyük ölçekli metin analiziyle karşılaştırıldığı çalışmalar sınırlıdır. Ayrıca mevcut çalışmaların bir kısmı yalnızca duygu analizi veya manuel içerik kodlamasıyla sınırlı kalmakta; betimleyici konu çıkarımı ile öngörücü modellemeyi entegre etmemektedir.</w:t>
      </w:r>
    </w:p>
    <w:p>
      <w:pPr>
        <w:spacing w:before="120" w:after="120"/>
      </w:pPr>
      <w:r>
        <w:rPr>
          <w:rFonts w:ascii="Times New Roman" w:hAnsi="Times New Roman" w:eastAsia="Times New Roman"/>
          <w:b/>
          <w:i w:val="0"/>
          <w:sz w:val="22"/>
        </w:rPr>
        <w:t>2.4. Literatürdeki Eksiklikler ve Bu Tezin Konumu</w:t>
      </w:r>
    </w:p>
    <w:p>
      <w:pPr>
        <w:spacing w:line="276" w:lineRule="auto" w:after="120"/>
        <w:ind w:firstLine="567"/>
        <w:jc w:val="both"/>
      </w:pPr>
      <w:r>
        <w:rPr>
          <w:rFonts w:ascii="Times New Roman" w:hAnsi="Times New Roman" w:eastAsia="Times New Roman"/>
          <w:b w:val="0"/>
          <w:i w:val="0"/>
          <w:sz w:val="22"/>
        </w:rPr>
        <w:t>Türkiye bağlamında büyük ölçekli açık veri metin analizinin sınırlılığı: Amazon, TripAdvisor vb. üzerinde yapılan çalışmalar yaygınken, Türkiye’de Şikayetvar gibi platformların bankacılık özelinde bütünleşik NLP–ML çerçevesiyle değerlendirildiği akademik çalışmalar görece azdır. Bu tez, üç bankayı kapsayan ve yeniden üretilebilir bir analiz boru hattı sunarak bu boşluğu doldurmayı amaçlar.</w:t>
      </w:r>
    </w:p>
    <w:p>
      <w:pPr>
        <w:spacing w:line="276" w:lineRule="auto" w:after="120"/>
        <w:ind w:firstLine="567"/>
        <w:jc w:val="both"/>
      </w:pPr>
      <w:r>
        <w:rPr>
          <w:rFonts w:ascii="Times New Roman" w:hAnsi="Times New Roman" w:eastAsia="Times New Roman"/>
          <w:b w:val="0"/>
          <w:i w:val="0"/>
          <w:sz w:val="22"/>
        </w:rPr>
        <w:t>Karşılaştırmalı banka analizlerinin yetersizliği: Literatürde çoğu araştırma tek kurum üzerinedir. Katılım (Kuveyt Türk), kamu (VakıfBank) ve özel (İşBankası) bankacılık modellerinin aynı metodolojiyle karşılaştırılması, kurumsal yapı–şikayet teması–çözüm performansı ilişkisini görünür kılar. Proje bulgularında örneğin çözüm oranları ve şirket yanıt oranlarının bankalar arasında belirgin farklılık göstermesi, bu karşılaştırmanın ampirik değerini desteklemektedir.</w:t>
      </w:r>
    </w:p>
    <w:p>
      <w:pPr>
        <w:spacing w:line="276" w:lineRule="auto" w:after="120"/>
        <w:ind w:firstLine="567"/>
        <w:jc w:val="both"/>
      </w:pPr>
      <w:r>
        <w:rPr>
          <w:rFonts w:ascii="Times New Roman" w:hAnsi="Times New Roman" w:eastAsia="Times New Roman"/>
          <w:b w:val="0"/>
          <w:i w:val="0"/>
          <w:sz w:val="22"/>
        </w:rPr>
        <w:t>İçerik analizi ile tahminlemenin entegre edilmemesi: Birçok çalışma yalnızca LDA ile tema çıkarır; ancak konu bulgularını çözüm tahmini modelleriyle birleştirmez. Bu tez, konu modelleme çıktılarını çözüm oranı analizleriyle ilişkilendirir ve TF-IDF tabanlı sınıflandırıcılarla öngörücü boyutu ekler.</w:t>
      </w:r>
    </w:p>
    <w:p>
      <w:pPr>
        <w:spacing w:line="276" w:lineRule="auto" w:after="120"/>
        <w:ind w:firstLine="567"/>
        <w:jc w:val="both"/>
      </w:pPr>
      <w:r>
        <w:rPr>
          <w:rFonts w:ascii="Times New Roman" w:hAnsi="Times New Roman" w:eastAsia="Times New Roman"/>
          <w:b w:val="0"/>
          <w:i w:val="0"/>
          <w:sz w:val="22"/>
        </w:rPr>
        <w:t>Meta verilerin yetersiz kullanımı: Şikayet platformlarında metin dışında çözüm durumu, memnuniyet, görüntülenme ve kurum yanıtı gibi alanlar bulunur. Bu tez meta özellikleri model girişine eklerken; memnuniyeti hedef değişken olarak kullanmayarak sızıntı riskini bilinçli biçimde yönetir. Memnuniyet, hipotez testlerinde (H2/H5) ayrı bir analitik eksende değerlendirilir.</w:t>
      </w:r>
    </w:p>
    <w:p>
      <w:pPr>
        <w:spacing w:before="120" w:after="120"/>
      </w:pPr>
      <w:r>
        <w:rPr>
          <w:rFonts w:ascii="Times New Roman" w:hAnsi="Times New Roman" w:eastAsia="Times New Roman"/>
          <w:b/>
          <w:i w:val="0"/>
          <w:sz w:val="22"/>
        </w:rPr>
        <w:t>2.5. Güncel Durum ve Önemi</w:t>
      </w:r>
    </w:p>
    <w:p>
      <w:pPr>
        <w:spacing w:line="276" w:lineRule="auto" w:after="120"/>
        <w:ind w:firstLine="567"/>
        <w:jc w:val="both"/>
      </w:pPr>
      <w:r>
        <w:rPr>
          <w:rFonts w:ascii="Times New Roman" w:hAnsi="Times New Roman" w:eastAsia="Times New Roman"/>
          <w:b w:val="0"/>
          <w:i w:val="0"/>
          <w:sz w:val="22"/>
        </w:rPr>
        <w:t>Dijital şikayet platformları, kurum itibarını doğrudan etkileyen kamusal veri kaynaklarıdır. Artan dijital bankacılık işlem hacmi, müşteri deneyimi sorunlarını daha görünür hale getirmiştir. Bu tez, sosyal bilimler ile veri bilimi disiplinlerini birleştirerek bankaların müşteri memnuniyeti stratejilerine veri temelli karar desteği sağlamayı ve disiplinlerarası bir araştırma örneği sunmayı hedeflemektedir. Ayrıca çalışma, kamuya açık şikayet verilerinin akademik araştırmada etik ve yeniden üretilebilir biçimde nasıl kullanılabileceğine dair uygulamalı bir örnek oluşturur.</w:t>
      </w:r>
    </w:p>
    <w:p>
      <w:pPr>
        <w:spacing w:before="280" w:after="120"/>
      </w:pPr>
      <w:r>
        <w:rPr>
          <w:rFonts w:ascii="Times New Roman" w:hAnsi="Times New Roman" w:eastAsia="Times New Roman"/>
          <w:b/>
          <w:i w:val="0"/>
          <w:sz w:val="24"/>
        </w:rPr>
        <w:t>3. ÖZGÜN DEĞER / ORIGINALITY OF STUDY</w:t>
      </w:r>
    </w:p>
    <w:p>
      <w:pPr>
        <w:spacing w:line="276" w:lineRule="auto" w:after="120"/>
        <w:ind w:firstLine="567"/>
        <w:jc w:val="both"/>
      </w:pPr>
      <w:r>
        <w:rPr>
          <w:rFonts w:ascii="Times New Roman" w:hAnsi="Times New Roman" w:eastAsia="Times New Roman"/>
          <w:b w:val="0"/>
          <w:i w:val="0"/>
          <w:sz w:val="22"/>
        </w:rPr>
        <w:t>Bu tez çalışmasının özgün değeri; bankacılık sektöründe çevrimiçi müşteri şikayetlerini büyük ölçekli açık veri üzerinden, bütünleşik bir metin madenciliği ve makine öğrenmesi çerçevesiyle analiz etmesi ve üç farklı bankacılık modelini karşılaştırmasıdır. YÖK Ulusal Tez Merkezi’nde bankacılıkta müşteri memnuniyeti ve hizmet kalitesi üzerine çok sayıda tez bulunmakla birlikte, bunların önemli bir kısmı anket verilerine veya sınırlı örneklemli içerik analizlerine dayanmaktadır. Açık kaynaklı şikayet platformlarından elde edilen Türkçe metnin, denetimli ve denetimsiz öğrenme teknikleriyle entegre biçimde ve yeniden üretilebilir bir boru hattı içinde işlendiği çalışmalar görece sınırlıdır.</w:t>
      </w:r>
    </w:p>
    <w:p>
      <w:pPr>
        <w:spacing w:line="276" w:lineRule="auto" w:after="120"/>
        <w:ind w:firstLine="567"/>
        <w:jc w:val="both"/>
      </w:pPr>
      <w:r>
        <w:rPr>
          <w:rFonts w:ascii="Times New Roman" w:hAnsi="Times New Roman" w:eastAsia="Times New Roman"/>
          <w:b w:val="0"/>
          <w:i w:val="0"/>
          <w:sz w:val="22"/>
        </w:rPr>
        <w:t>Tezin özgünlüğü yalnızca veri kaynağından değil, yöntemsel bütünlüğünden de kaynaklanır: (i) banka özelinde coherence tabanlı LDA konu seçimi ve konu–çözüm ısı haritaları; (ii) TF-IDF + meta özellik ile çözüm durumu tahmini; (iii) sınıf dengesizliği için class_weight=balanced yaklaşımı; (iv) çarpık memnuniyet dağılımında medyan politikası; (v) H1–H5 hipotezlerinin tek bir karşılaştırmalı raporlama adımında birleştirilmesi. Bu yapı, “şikayet konusu nedir?”, “hangi konular daha az çözülmektedir?” ve “metinden çözüm durumu tahmin edilebilir mi?” sorularına birlikte yanıt üretir.</w:t>
      </w:r>
    </w:p>
    <w:p>
      <w:pPr>
        <w:spacing w:line="276" w:lineRule="auto" w:after="120"/>
        <w:ind w:firstLine="567"/>
        <w:jc w:val="both"/>
      </w:pPr>
      <w:r>
        <w:rPr>
          <w:rFonts w:ascii="Times New Roman" w:hAnsi="Times New Roman" w:eastAsia="Times New Roman"/>
          <w:b w:val="0"/>
          <w:i w:val="0"/>
          <w:sz w:val="22"/>
        </w:rPr>
        <w:t>Kuramsal açıdan çalışma; hizmet kalitesi, müşteri memnuniyeti ve dijital itibar yönetimi yaklaşımlarını veri bilimi perspektifiyle bütünleştirerek disiplinlerarası bir model önermektedir. Uygulama açısından ise oluşturulan temiz veri seti, LDA ve sınıflandırma modelleri ile görsel raporlar, bankalar ve araştırmacılar için tekrar kullanılabilir bir analitik envanter niteliği taşımaktadır.</w:t>
      </w:r>
    </w:p>
    <w:p>
      <w:pPr>
        <w:spacing w:before="280" w:after="120"/>
      </w:pPr>
      <w:r>
        <w:rPr>
          <w:rFonts w:ascii="Times New Roman" w:hAnsi="Times New Roman" w:eastAsia="Times New Roman"/>
          <w:b/>
          <w:i w:val="0"/>
          <w:sz w:val="24"/>
        </w:rPr>
        <w:t>4. YÖNTEM / METHODOLOGY</w:t>
      </w:r>
    </w:p>
    <w:p>
      <w:pPr>
        <w:spacing w:line="276" w:lineRule="auto" w:after="120"/>
        <w:ind w:firstLine="567"/>
        <w:jc w:val="both"/>
      </w:pPr>
      <w:r>
        <w:rPr>
          <w:rFonts w:ascii="Times New Roman" w:hAnsi="Times New Roman" w:eastAsia="Times New Roman"/>
          <w:b w:val="0"/>
          <w:i w:val="0"/>
          <w:sz w:val="22"/>
        </w:rPr>
        <w:t>Bu tez, nicel araştırma tasarımına dayalı; veri madenciliği, metin madenciliği ve makine öğrenmesi tekniklerinin kullanıldığı uygulamalı bir çalışmadır. Hesaplamalı sosyal bilimler yaklaşımı benimsenmiştir. Araştırma süreci altı ana adımdan oluşur.</w:t>
      </w:r>
    </w:p>
    <w:p>
      <w:pPr>
        <w:spacing w:before="120" w:after="120"/>
      </w:pPr>
      <w:r>
        <w:rPr>
          <w:rFonts w:ascii="Times New Roman" w:hAnsi="Times New Roman" w:eastAsia="Times New Roman"/>
          <w:b/>
          <w:i w:val="0"/>
          <w:sz w:val="22"/>
        </w:rPr>
        <w:t>4.1. Veri Toplama</w:t>
      </w:r>
    </w:p>
    <w:p>
      <w:pPr>
        <w:spacing w:line="276" w:lineRule="auto" w:after="120"/>
        <w:ind w:firstLine="567"/>
        <w:jc w:val="both"/>
      </w:pPr>
      <w:r>
        <w:rPr>
          <w:rFonts w:ascii="Times New Roman" w:hAnsi="Times New Roman" w:eastAsia="Times New Roman"/>
          <w:b w:val="0"/>
          <w:i w:val="0"/>
          <w:sz w:val="22"/>
        </w:rPr>
        <w:t>Veri kaynağı Şikayetvar’dır. Kuveyt Türk, VakıfBank ve İşBankası şikayetleri web scraping ile toplanır. Alanlar: id, tarih, kullanıcı adı, başlık, full_text, company_reply, is_resolved, satisfaction, keywords, view_count, upvote_count, url. Mevcut veri seti 2026 Ocak–Nisan dönemini kapsar (~6.396 ham kayıt).</w:t>
      </w:r>
    </w:p>
    <w:p>
      <w:pPr>
        <w:spacing w:before="120" w:after="120"/>
      </w:pPr>
      <w:r>
        <w:rPr>
          <w:rFonts w:ascii="Times New Roman" w:hAnsi="Times New Roman" w:eastAsia="Times New Roman"/>
          <w:b/>
          <w:i w:val="0"/>
          <w:sz w:val="22"/>
        </w:rPr>
        <w:t>4.2. Keşifsel Veri Analizi (EDA)</w:t>
      </w:r>
    </w:p>
    <w:p>
      <w:pPr>
        <w:spacing w:line="276" w:lineRule="auto" w:after="120"/>
        <w:ind w:firstLine="567"/>
        <w:jc w:val="both"/>
      </w:pPr>
      <w:r>
        <w:rPr>
          <w:rFonts w:ascii="Times New Roman" w:hAnsi="Times New Roman" w:eastAsia="Times New Roman"/>
          <w:b w:val="0"/>
          <w:i w:val="0"/>
          <w:sz w:val="22"/>
        </w:rPr>
        <w:t>Şikayet sayısı, çözüm oranı, memnuniyet dağılımı, aylık trend, şirket yanıt oranı, görüntülenme dağılımı ve kategori frekansları incelenir. Banka özelinde eş anlamlı kategori birleştirme (ör. kart markalarının “Kredi Kartı” altında toplanması) uygulanır. Memnuniyet için medyan merkezi eğilim olarak kullanılır; çözüm–memnuniyet farkı Mann–Whitney U ile test edilir.</w:t>
      </w:r>
    </w:p>
    <w:p>
      <w:pPr>
        <w:spacing w:before="120" w:after="120"/>
      </w:pPr>
      <w:r>
        <w:rPr>
          <w:rFonts w:ascii="Times New Roman" w:hAnsi="Times New Roman" w:eastAsia="Times New Roman"/>
          <w:b/>
          <w:i w:val="0"/>
          <w:sz w:val="22"/>
        </w:rPr>
        <w:t>4.3. Türkçe Metin Ön İşleme</w:t>
      </w:r>
    </w:p>
    <w:p>
      <w:pPr>
        <w:spacing w:line="276" w:lineRule="auto" w:after="120"/>
        <w:ind w:firstLine="567"/>
        <w:jc w:val="both"/>
      </w:pPr>
      <w:r>
        <w:rPr>
          <w:rFonts w:ascii="Times New Roman" w:hAnsi="Times New Roman" w:eastAsia="Times New Roman"/>
          <w:b w:val="0"/>
          <w:i w:val="0"/>
          <w:sz w:val="22"/>
        </w:rPr>
        <w:t>Küçük harfe dönüştürme, özel karakter/URL temizliği, tokenizasyon, 700+ kelimelik bankacılık ve platforma özgü Türkçe stop-word çıkarımı, Snowball Turkish stemming ve post-stem filtre uygulanır. Boş full_text kayıtları description_preview ile kurtarılır. Çıktı: data/processed/veri_temiz.csv.</w:t>
      </w:r>
    </w:p>
    <w:p>
      <w:pPr>
        <w:spacing w:before="120" w:after="120"/>
      </w:pPr>
      <w:r>
        <w:rPr>
          <w:rFonts w:ascii="Times New Roman" w:hAnsi="Times New Roman" w:eastAsia="Times New Roman"/>
          <w:b/>
          <w:i w:val="0"/>
          <w:sz w:val="22"/>
        </w:rPr>
        <w:t>4.4. LDA Konu Modelleme</w:t>
      </w:r>
    </w:p>
    <w:p>
      <w:pPr>
        <w:spacing w:line="276" w:lineRule="auto" w:after="120"/>
        <w:ind w:firstLine="567"/>
        <w:jc w:val="both"/>
      </w:pPr>
      <w:r>
        <w:rPr>
          <w:rFonts w:ascii="Times New Roman" w:hAnsi="Times New Roman" w:eastAsia="Times New Roman"/>
          <w:b w:val="0"/>
          <w:i w:val="0"/>
          <w:sz w:val="22"/>
        </w:rPr>
        <w:t>Her banka için ayrı LDA modeli kurulur; k=3…9 aralığında coherence (ve perplexity) ile optimal konu sayısı seçilir. Gensim Phrases ile bigram’lar (“kredi_kartı”, “mobil_uygulama” vb.) tespit edilir. Konu etiketleri bankacılık domain bilgisiyle yorumlanır; konu–çözüm oranları ve zaman trendleri raporlanır. Mevcut sonuçlarda optimal k: VakıfBank=6, İşBankası=4, Kuveyt Türk=8.</w:t>
      </w:r>
    </w:p>
    <w:p>
      <w:pPr>
        <w:spacing w:before="120" w:after="120"/>
      </w:pPr>
      <w:r>
        <w:rPr>
          <w:rFonts w:ascii="Times New Roman" w:hAnsi="Times New Roman" w:eastAsia="Times New Roman"/>
          <w:b/>
          <w:i w:val="0"/>
          <w:sz w:val="22"/>
        </w:rPr>
        <w:t>4.5. TF-IDF ve Denetimli Öğrenme</w:t>
      </w:r>
    </w:p>
    <w:p>
      <w:pPr>
        <w:spacing w:line="276" w:lineRule="auto" w:after="120"/>
        <w:ind w:firstLine="567"/>
        <w:jc w:val="both"/>
      </w:pPr>
      <w:r>
        <w:rPr>
          <w:rFonts w:ascii="Times New Roman" w:hAnsi="Times New Roman" w:eastAsia="Times New Roman"/>
          <w:b w:val="0"/>
          <w:i w:val="0"/>
          <w:sz w:val="22"/>
        </w:rPr>
        <w:t>Hedef değişken is_resolved (Çözüldü=1 / Çözülmedi=0)’dır. Özellikler: TF-IDF (max_features=10.000, n-gram=(1,2), sublinear_tf) + token_uzunluk + log(view_count+1) + has_reply. Satisfaction kasıtlı olarak modele eklenmez (leakage riski). Algoritmalar: Lojistik Regresyon, Random Forest, LinearSVC (olasılık için CalibratedClassifierCV). class_weight='balanced'; %80/%20 stratified split; 5-kat CV. Metrikler: Accuracy, Precision, Recall, F1, ROC-AUC. H3 eşiği: Accuracy ≥ 0.70.</w:t>
      </w:r>
    </w:p>
    <w:p>
      <w:pPr>
        <w:spacing w:before="120" w:after="120"/>
      </w:pPr>
      <w:r>
        <w:rPr>
          <w:rFonts w:ascii="Times New Roman" w:hAnsi="Times New Roman" w:eastAsia="Times New Roman"/>
          <w:b/>
          <w:i w:val="0"/>
          <w:sz w:val="22"/>
        </w:rPr>
        <w:t>4.6. Karşılaştırmalı Analiz ve Hipotez Testleri</w:t>
      </w:r>
    </w:p>
    <w:p>
      <w:pPr>
        <w:spacing w:line="276" w:lineRule="auto" w:after="120"/>
        <w:ind w:firstLine="567"/>
        <w:jc w:val="both"/>
      </w:pPr>
      <w:r>
        <w:rPr>
          <w:rFonts w:ascii="Times New Roman" w:hAnsi="Times New Roman" w:eastAsia="Times New Roman"/>
          <w:b w:val="0"/>
          <w:i w:val="0"/>
          <w:sz w:val="22"/>
        </w:rPr>
        <w:t>H1–H5 hipotezleri banka bazında ve karşılaştırmalı olarak test edilir; sonuçlar dashboard ve özet tablolarla raporlanır. Bu yöntem seti, tezin konu keşfi, tahminleme ve bankalar arası karşılaştırma hedeflerine doğrudan hizmet eder.</w:t>
      </w:r>
    </w:p>
    <w:p>
      <w:pPr>
        <w:spacing w:before="280" w:after="120"/>
      </w:pPr>
      <w:r>
        <w:rPr>
          <w:rFonts w:ascii="Times New Roman" w:hAnsi="Times New Roman" w:eastAsia="Times New Roman"/>
          <w:b/>
          <w:i w:val="0"/>
          <w:sz w:val="24"/>
        </w:rPr>
        <w:t>5. YAYGIN ETKİ – KATMA DEĞER / EXPECTED IMPACT</w:t>
      </w:r>
    </w:p>
    <w:tbl>
      <w:tblPr>
        <w:tblStyle w:val="TableGrid"/>
        <w:tblW w:type="auto" w:w="0"/>
        <w:tblLook w:firstColumn="1" w:firstRow="1" w:lastColumn="0" w:lastRow="0" w:noHBand="0" w:noVBand="1" w:val="04A0"/>
      </w:tblPr>
      <w:tblGrid>
        <w:gridCol w:w="4844"/>
        <w:gridCol w:w="4844"/>
      </w:tblGrid>
      <w:tr>
        <w:tc>
          <w:tcPr>
            <w:tcW w:type="dxa" w:w="4844"/>
            <w:shd w:fill="1F4E79" w:val="clear"/>
          </w:tcPr>
          <w:p>
            <w:pPr>
              <w:jc w:val="center"/>
            </w:pPr>
            <w:r/>
            <w:r>
              <w:rPr>
                <w:rFonts w:ascii="Times New Roman" w:hAnsi="Times New Roman" w:eastAsia="Times New Roman"/>
                <w:b/>
                <w:i w:val="0"/>
                <w:color w:val="FFFFFF"/>
                <w:sz w:val="20"/>
              </w:rPr>
              <w:t>Yaygın Etki Türleri</w:t>
            </w:r>
          </w:p>
        </w:tc>
        <w:tc>
          <w:tcPr>
            <w:tcW w:type="dxa" w:w="4844"/>
            <w:shd w:fill="1F4E79" w:val="clear"/>
          </w:tcPr>
          <w:p>
            <w:pPr>
              <w:jc w:val="center"/>
            </w:pPr>
            <w:r/>
            <w:r>
              <w:rPr>
                <w:rFonts w:ascii="Times New Roman" w:hAnsi="Times New Roman" w:eastAsia="Times New Roman"/>
                <w:b/>
                <w:i w:val="0"/>
                <w:color w:val="FFFFFF"/>
                <w:sz w:val="20"/>
              </w:rPr>
              <w:t>Tezden Öngörülen/Beklenen Çıktı, Sonuç ve Etkiler</w:t>
            </w:r>
          </w:p>
        </w:tc>
      </w:tr>
      <w:tr>
        <w:tc>
          <w:tcPr>
            <w:tcW w:type="dxa" w:w="4844"/>
          </w:tcPr>
          <w:p>
            <w:r/>
            <w:r>
              <w:rPr>
                <w:rFonts w:ascii="Times New Roman" w:hAnsi="Times New Roman" w:eastAsia="Times New Roman"/>
                <w:b/>
                <w:i w:val="0"/>
                <w:sz w:val="20"/>
              </w:rPr>
              <w:t>Bilimsel/Akademik Etkiler</w:t>
              <w:br/>
              <w:t>(Makale, Bildiri, Kitap)</w:t>
            </w:r>
          </w:p>
        </w:tc>
        <w:tc>
          <w:tcPr>
            <w:tcW w:type="dxa" w:w="4844"/>
          </w:tcPr>
          <w:p>
            <w:r/>
            <w:r>
              <w:rPr>
                <w:rFonts w:ascii="Times New Roman" w:hAnsi="Times New Roman" w:eastAsia="Times New Roman"/>
                <w:b w:val="0"/>
                <w:i w:val="0"/>
                <w:sz w:val="20"/>
              </w:rPr>
              <w:t>Türkçe bankacılık şikayet metinlerinde LDA + TF-IDF + denetimli öğrenme bütünleşik çerçevesinin ampirik uygulamasıyla literatüre katkı beklenmektedir. Bulguların ulusal/uluslararası hakemli dergilerde makale ve ilgili kongrelerde bildiri olarak sunulması öngörülür. Çalışma; veri bilimi, yapay zekâ ve işletme/finans alanlarında yeni lisansüstü araştırmalar için metodolojik referans niteliği taşıyacaktır. Üretilen temiz veri seti, konu modelleri, performans metrikleri ve hipotez sonuçları yeniden üretilebilir araştırma çıktısı olarak belgelenecektir.</w:t>
            </w:r>
          </w:p>
        </w:tc>
      </w:tr>
      <w:tr>
        <w:tc>
          <w:tcPr>
            <w:tcW w:type="dxa" w:w="4844"/>
          </w:tcPr>
          <w:p>
            <w:r/>
            <w:r>
              <w:rPr>
                <w:rFonts w:ascii="Times New Roman" w:hAnsi="Times New Roman" w:eastAsia="Times New Roman"/>
                <w:b/>
                <w:i w:val="0"/>
                <w:sz w:val="20"/>
              </w:rPr>
              <w:t>Uygulamaya Yönelik Etkiler</w:t>
              <w:br/>
              <w:t>(Veri tabanı, karar destek, eğitim vb.)</w:t>
            </w:r>
          </w:p>
        </w:tc>
        <w:tc>
          <w:tcPr>
            <w:tcW w:type="dxa" w:w="4844"/>
          </w:tcPr>
          <w:p>
            <w:r/>
            <w:r>
              <w:rPr>
                <w:rFonts w:ascii="Times New Roman" w:hAnsi="Times New Roman" w:eastAsia="Times New Roman"/>
                <w:b w:val="0"/>
                <w:i w:val="0"/>
                <w:sz w:val="20"/>
              </w:rPr>
              <w:t>Banka bazında konu dağılımı, çözüm oranı ve yanıt performansı karşılaştırmaları; müşteri deneyimi ekiplerine erken uyarı ve önceliklendirme içgörüsü sağlar. Çözüm durumu tahmin modelleri, yoğun şikayet kuyruklarında riskli kayıtların öne alınmasına destek olabilir. Oluşturulan görsel panolar ve raporlar (executive dashboard) yönetici düzeyinde karar destek çıktısıdır. Temizlenmiş/etiketlenmiş veri envanteri ve Python analiz boru hattı, üniversite–sektör iş birlikleri, çalıştaylar ve eğitim programlarında örnek uygulama olarak kullanılabilir. Böylece tez; bilimsel, operasyonel ve eğitimsel düzeyde katma değer üretme potansiyeline sahiptir.</w:t>
            </w:r>
          </w:p>
        </w:tc>
      </w:tr>
    </w:tbl>
    <w:p>
      <w:pPr>
        <w:spacing w:before="280" w:after="120"/>
      </w:pPr>
      <w:r>
        <w:rPr>
          <w:rFonts w:ascii="Times New Roman" w:hAnsi="Times New Roman" w:eastAsia="Times New Roman"/>
          <w:b/>
          <w:i w:val="0"/>
          <w:sz w:val="24"/>
        </w:rPr>
        <w:t>6. İŞ TAKVİMİ / WORK SCHEDULE</w:t>
      </w:r>
    </w:p>
    <w:p>
      <w:pPr>
        <w:spacing w:line="276" w:lineRule="auto" w:after="120"/>
        <w:jc w:val="both"/>
      </w:pPr>
      <w:r>
        <w:rPr>
          <w:rFonts w:ascii="Times New Roman" w:hAnsi="Times New Roman" w:eastAsia="Times New Roman"/>
          <w:b w:val="0"/>
          <w:i w:val="0"/>
          <w:sz w:val="22"/>
        </w:rPr>
        <w:t>Aşağıdaki iş–zaman çizelgesi, tez çalışma süresinin tamamını kapsayacak şekilde 12 aylık bir planı örneklemektedir. Ay numaraları tez başlangıcına göredir.</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20"/>
              </w:rPr>
              <w:t>İş No</w:t>
            </w:r>
          </w:p>
        </w:tc>
        <w:tc>
          <w:tcPr>
            <w:tcW w:type="dxa" w:w="3230"/>
            <w:shd w:fill="1F4E79" w:val="clear"/>
          </w:tcPr>
          <w:p>
            <w:pPr>
              <w:jc w:val="center"/>
            </w:pPr>
            <w:r/>
            <w:r>
              <w:rPr>
                <w:rFonts w:ascii="Times New Roman" w:hAnsi="Times New Roman" w:eastAsia="Times New Roman"/>
                <w:b/>
                <w:i w:val="0"/>
                <w:color w:val="FFFFFF"/>
                <w:sz w:val="20"/>
              </w:rPr>
              <w:t>Yapılacak İşler</w:t>
            </w:r>
          </w:p>
        </w:tc>
        <w:tc>
          <w:tcPr>
            <w:tcW w:type="dxa" w:w="3230"/>
            <w:shd w:fill="1F4E79" w:val="clear"/>
          </w:tcPr>
          <w:p>
            <w:pPr>
              <w:jc w:val="center"/>
            </w:pPr>
            <w:r/>
            <w:r>
              <w:rPr>
                <w:rFonts w:ascii="Times New Roman" w:hAnsi="Times New Roman" w:eastAsia="Times New Roman"/>
                <w:b/>
                <w:i w:val="0"/>
                <w:color w:val="FFFFFF"/>
                <w:sz w:val="20"/>
              </w:rPr>
              <w:t>Aylar</w:t>
            </w:r>
          </w:p>
        </w:tc>
      </w:tr>
      <w:tr>
        <w:tc>
          <w:tcPr>
            <w:tcW w:type="dxa" w:w="3230"/>
          </w:tcPr>
          <w:p>
            <w:pPr>
              <w:jc w:val="center"/>
            </w:pPr>
            <w:r/>
            <w:r>
              <w:rPr>
                <w:rFonts w:ascii="Times New Roman" w:hAnsi="Times New Roman" w:eastAsia="Times New Roman"/>
                <w:b w:val="0"/>
                <w:i w:val="0"/>
                <w:sz w:val="20"/>
              </w:rPr>
              <w:t>1</w:t>
            </w:r>
          </w:p>
        </w:tc>
        <w:tc>
          <w:tcPr>
            <w:tcW w:type="dxa" w:w="3230"/>
          </w:tcPr>
          <w:p>
            <w:r/>
            <w:r>
              <w:rPr>
                <w:rFonts w:ascii="Times New Roman" w:hAnsi="Times New Roman" w:eastAsia="Times New Roman"/>
                <w:b w:val="0"/>
                <w:i w:val="0"/>
                <w:sz w:val="20"/>
              </w:rPr>
              <w:t>Literatür taraması ve tez önerisinin netleştirilmesi</w:t>
            </w:r>
          </w:p>
        </w:tc>
        <w:tc>
          <w:tcPr>
            <w:tcW w:type="dxa" w:w="3230"/>
          </w:tcPr>
          <w:p>
            <w:pPr>
              <w:jc w:val="center"/>
            </w:pPr>
            <w:r/>
            <w:r>
              <w:rPr>
                <w:rFonts w:ascii="Times New Roman" w:hAnsi="Times New Roman" w:eastAsia="Times New Roman"/>
                <w:b w:val="0"/>
                <w:i w:val="0"/>
                <w:sz w:val="20"/>
              </w:rPr>
              <w:t>1–2</w:t>
            </w:r>
          </w:p>
        </w:tc>
      </w:tr>
      <w:tr>
        <w:tc>
          <w:tcPr>
            <w:tcW w:type="dxa" w:w="3230"/>
          </w:tcPr>
          <w:p>
            <w:pPr>
              <w:jc w:val="center"/>
            </w:pPr>
            <w:r/>
            <w:r>
              <w:rPr>
                <w:rFonts w:ascii="Times New Roman" w:hAnsi="Times New Roman" w:eastAsia="Times New Roman"/>
                <w:b w:val="0"/>
                <w:i w:val="0"/>
                <w:sz w:val="20"/>
              </w:rPr>
              <w:t>2</w:t>
            </w:r>
          </w:p>
        </w:tc>
        <w:tc>
          <w:tcPr>
            <w:tcW w:type="dxa" w:w="3230"/>
          </w:tcPr>
          <w:p>
            <w:r/>
            <w:r>
              <w:rPr>
                <w:rFonts w:ascii="Times New Roman" w:hAnsi="Times New Roman" w:eastAsia="Times New Roman"/>
                <w:b w:val="0"/>
                <w:i w:val="0"/>
                <w:sz w:val="20"/>
              </w:rPr>
              <w:t>Web scraping aracının geliştirilmesi / güncellenmesi</w:t>
            </w:r>
          </w:p>
        </w:tc>
        <w:tc>
          <w:tcPr>
            <w:tcW w:type="dxa" w:w="3230"/>
          </w:tcPr>
          <w:p>
            <w:pPr>
              <w:jc w:val="center"/>
            </w:pPr>
            <w:r/>
            <w:r>
              <w:rPr>
                <w:rFonts w:ascii="Times New Roman" w:hAnsi="Times New Roman" w:eastAsia="Times New Roman"/>
                <w:b w:val="0"/>
                <w:i w:val="0"/>
                <w:sz w:val="20"/>
              </w:rPr>
              <w:t>2–3</w:t>
            </w:r>
          </w:p>
        </w:tc>
      </w:tr>
      <w:tr>
        <w:tc>
          <w:tcPr>
            <w:tcW w:type="dxa" w:w="3230"/>
          </w:tcPr>
          <w:p>
            <w:pPr>
              <w:jc w:val="center"/>
            </w:pPr>
            <w:r/>
            <w:r>
              <w:rPr>
                <w:rFonts w:ascii="Times New Roman" w:hAnsi="Times New Roman" w:eastAsia="Times New Roman"/>
                <w:b w:val="0"/>
                <w:i w:val="0"/>
                <w:sz w:val="20"/>
              </w:rPr>
              <w:t>3</w:t>
            </w:r>
          </w:p>
        </w:tc>
        <w:tc>
          <w:tcPr>
            <w:tcW w:type="dxa" w:w="3230"/>
          </w:tcPr>
          <w:p>
            <w:r/>
            <w:r>
              <w:rPr>
                <w:rFonts w:ascii="Times New Roman" w:hAnsi="Times New Roman" w:eastAsia="Times New Roman"/>
                <w:b w:val="0"/>
                <w:i w:val="0"/>
                <w:sz w:val="20"/>
              </w:rPr>
              <w:t>Veri toplama (Şikayetvar – 3 banka)</w:t>
            </w:r>
          </w:p>
        </w:tc>
        <w:tc>
          <w:tcPr>
            <w:tcW w:type="dxa" w:w="3230"/>
          </w:tcPr>
          <w:p>
            <w:pPr>
              <w:jc w:val="center"/>
            </w:pPr>
            <w:r/>
            <w:r>
              <w:rPr>
                <w:rFonts w:ascii="Times New Roman" w:hAnsi="Times New Roman" w:eastAsia="Times New Roman"/>
                <w:b w:val="0"/>
                <w:i w:val="0"/>
                <w:sz w:val="20"/>
              </w:rPr>
              <w:t>3–4</w:t>
            </w:r>
          </w:p>
        </w:tc>
      </w:tr>
      <w:tr>
        <w:tc>
          <w:tcPr>
            <w:tcW w:type="dxa" w:w="3230"/>
          </w:tcPr>
          <w:p>
            <w:pPr>
              <w:jc w:val="center"/>
            </w:pPr>
            <w:r/>
            <w:r>
              <w:rPr>
                <w:rFonts w:ascii="Times New Roman" w:hAnsi="Times New Roman" w:eastAsia="Times New Roman"/>
                <w:b w:val="0"/>
                <w:i w:val="0"/>
                <w:sz w:val="20"/>
              </w:rPr>
              <w:t>4</w:t>
            </w:r>
          </w:p>
        </w:tc>
        <w:tc>
          <w:tcPr>
            <w:tcW w:type="dxa" w:w="3230"/>
          </w:tcPr>
          <w:p>
            <w:r/>
            <w:r>
              <w:rPr>
                <w:rFonts w:ascii="Times New Roman" w:hAnsi="Times New Roman" w:eastAsia="Times New Roman"/>
                <w:b w:val="0"/>
                <w:i w:val="0"/>
                <w:sz w:val="20"/>
              </w:rPr>
              <w:t>Veri kalite kontrolü ve birleştirme (kurulum)</w:t>
            </w:r>
          </w:p>
        </w:tc>
        <w:tc>
          <w:tcPr>
            <w:tcW w:type="dxa" w:w="3230"/>
          </w:tcPr>
          <w:p>
            <w:pPr>
              <w:jc w:val="center"/>
            </w:pPr>
            <w:r/>
            <w:r>
              <w:rPr>
                <w:rFonts w:ascii="Times New Roman" w:hAnsi="Times New Roman" w:eastAsia="Times New Roman"/>
                <w:b w:val="0"/>
                <w:i w:val="0"/>
                <w:sz w:val="20"/>
              </w:rPr>
              <w:t>4</w:t>
            </w:r>
          </w:p>
        </w:tc>
      </w:tr>
      <w:tr>
        <w:tc>
          <w:tcPr>
            <w:tcW w:type="dxa" w:w="3230"/>
          </w:tcPr>
          <w:p>
            <w:pPr>
              <w:jc w:val="center"/>
            </w:pPr>
            <w:r/>
            <w:r>
              <w:rPr>
                <w:rFonts w:ascii="Times New Roman" w:hAnsi="Times New Roman" w:eastAsia="Times New Roman"/>
                <w:b w:val="0"/>
                <w:i w:val="0"/>
                <w:sz w:val="20"/>
              </w:rPr>
              <w:t>5</w:t>
            </w:r>
          </w:p>
        </w:tc>
        <w:tc>
          <w:tcPr>
            <w:tcW w:type="dxa" w:w="3230"/>
          </w:tcPr>
          <w:p>
            <w:r/>
            <w:r>
              <w:rPr>
                <w:rFonts w:ascii="Times New Roman" w:hAnsi="Times New Roman" w:eastAsia="Times New Roman"/>
                <w:b w:val="0"/>
                <w:i w:val="0"/>
                <w:sz w:val="20"/>
              </w:rPr>
              <w:t>Keşifsel veri analizi (EDA) ve görselleştirme</w:t>
            </w:r>
          </w:p>
        </w:tc>
        <w:tc>
          <w:tcPr>
            <w:tcW w:type="dxa" w:w="3230"/>
          </w:tcPr>
          <w:p>
            <w:pPr>
              <w:jc w:val="center"/>
            </w:pPr>
            <w:r/>
            <w:r>
              <w:rPr>
                <w:rFonts w:ascii="Times New Roman" w:hAnsi="Times New Roman" w:eastAsia="Times New Roman"/>
                <w:b w:val="0"/>
                <w:i w:val="0"/>
                <w:sz w:val="20"/>
              </w:rPr>
              <w:t>4–5</w:t>
            </w:r>
          </w:p>
        </w:tc>
      </w:tr>
      <w:tr>
        <w:tc>
          <w:tcPr>
            <w:tcW w:type="dxa" w:w="3230"/>
          </w:tcPr>
          <w:p>
            <w:pPr>
              <w:jc w:val="center"/>
            </w:pPr>
            <w:r/>
            <w:r>
              <w:rPr>
                <w:rFonts w:ascii="Times New Roman" w:hAnsi="Times New Roman" w:eastAsia="Times New Roman"/>
                <w:b w:val="0"/>
                <w:i w:val="0"/>
                <w:sz w:val="20"/>
              </w:rPr>
              <w:t>6</w:t>
            </w:r>
          </w:p>
        </w:tc>
        <w:tc>
          <w:tcPr>
            <w:tcW w:type="dxa" w:w="3230"/>
          </w:tcPr>
          <w:p>
            <w:r/>
            <w:r>
              <w:rPr>
                <w:rFonts w:ascii="Times New Roman" w:hAnsi="Times New Roman" w:eastAsia="Times New Roman"/>
                <w:b w:val="0"/>
                <w:i w:val="0"/>
                <w:sz w:val="20"/>
              </w:rPr>
              <w:t>Türkçe metin ön işleme ve stop-word iyileştirme</w:t>
            </w:r>
          </w:p>
        </w:tc>
        <w:tc>
          <w:tcPr>
            <w:tcW w:type="dxa" w:w="3230"/>
          </w:tcPr>
          <w:p>
            <w:pPr>
              <w:jc w:val="center"/>
            </w:pPr>
            <w:r/>
            <w:r>
              <w:rPr>
                <w:rFonts w:ascii="Times New Roman" w:hAnsi="Times New Roman" w:eastAsia="Times New Roman"/>
                <w:b w:val="0"/>
                <w:i w:val="0"/>
                <w:sz w:val="20"/>
              </w:rPr>
              <w:t>5–6</w:t>
            </w:r>
          </w:p>
        </w:tc>
      </w:tr>
      <w:tr>
        <w:tc>
          <w:tcPr>
            <w:tcW w:type="dxa" w:w="3230"/>
          </w:tcPr>
          <w:p>
            <w:pPr>
              <w:jc w:val="center"/>
            </w:pPr>
            <w:r/>
            <w:r>
              <w:rPr>
                <w:rFonts w:ascii="Times New Roman" w:hAnsi="Times New Roman" w:eastAsia="Times New Roman"/>
                <w:b w:val="0"/>
                <w:i w:val="0"/>
                <w:sz w:val="20"/>
              </w:rPr>
              <w:t>7</w:t>
            </w:r>
          </w:p>
        </w:tc>
        <w:tc>
          <w:tcPr>
            <w:tcW w:type="dxa" w:w="3230"/>
          </w:tcPr>
          <w:p>
            <w:r/>
            <w:r>
              <w:rPr>
                <w:rFonts w:ascii="Times New Roman" w:hAnsi="Times New Roman" w:eastAsia="Times New Roman"/>
                <w:b w:val="0"/>
                <w:i w:val="0"/>
                <w:sz w:val="20"/>
              </w:rPr>
              <w:t>LDA konu modelleme ve konu etiketleme</w:t>
            </w:r>
          </w:p>
        </w:tc>
        <w:tc>
          <w:tcPr>
            <w:tcW w:type="dxa" w:w="3230"/>
          </w:tcPr>
          <w:p>
            <w:pPr>
              <w:jc w:val="center"/>
            </w:pPr>
            <w:r/>
            <w:r>
              <w:rPr>
                <w:rFonts w:ascii="Times New Roman" w:hAnsi="Times New Roman" w:eastAsia="Times New Roman"/>
                <w:b w:val="0"/>
                <w:i w:val="0"/>
                <w:sz w:val="20"/>
              </w:rPr>
              <w:t>6–7</w:t>
            </w:r>
          </w:p>
        </w:tc>
      </w:tr>
      <w:tr>
        <w:tc>
          <w:tcPr>
            <w:tcW w:type="dxa" w:w="3230"/>
          </w:tcPr>
          <w:p>
            <w:pPr>
              <w:jc w:val="center"/>
            </w:pPr>
            <w:r/>
            <w:r>
              <w:rPr>
                <w:rFonts w:ascii="Times New Roman" w:hAnsi="Times New Roman" w:eastAsia="Times New Roman"/>
                <w:b w:val="0"/>
                <w:i w:val="0"/>
                <w:sz w:val="20"/>
              </w:rPr>
              <w:t>8</w:t>
            </w:r>
          </w:p>
        </w:tc>
        <w:tc>
          <w:tcPr>
            <w:tcW w:type="dxa" w:w="3230"/>
          </w:tcPr>
          <w:p>
            <w:r/>
            <w:r>
              <w:rPr>
                <w:rFonts w:ascii="Times New Roman" w:hAnsi="Times New Roman" w:eastAsia="Times New Roman"/>
                <w:b w:val="0"/>
                <w:i w:val="0"/>
                <w:sz w:val="20"/>
              </w:rPr>
              <w:t>TF-IDF + ML modelleme ve hiperparametre ayarı</w:t>
            </w:r>
          </w:p>
        </w:tc>
        <w:tc>
          <w:tcPr>
            <w:tcW w:type="dxa" w:w="3230"/>
          </w:tcPr>
          <w:p>
            <w:pPr>
              <w:jc w:val="center"/>
            </w:pPr>
            <w:r/>
            <w:r>
              <w:rPr>
                <w:rFonts w:ascii="Times New Roman" w:hAnsi="Times New Roman" w:eastAsia="Times New Roman"/>
                <w:b w:val="0"/>
                <w:i w:val="0"/>
                <w:sz w:val="20"/>
              </w:rPr>
              <w:t>7–8</w:t>
            </w:r>
          </w:p>
        </w:tc>
      </w:tr>
      <w:tr>
        <w:tc>
          <w:tcPr>
            <w:tcW w:type="dxa" w:w="3230"/>
          </w:tcPr>
          <w:p>
            <w:pPr>
              <w:jc w:val="center"/>
            </w:pPr>
            <w:r/>
            <w:r>
              <w:rPr>
                <w:rFonts w:ascii="Times New Roman" w:hAnsi="Times New Roman" w:eastAsia="Times New Roman"/>
                <w:b w:val="0"/>
                <w:i w:val="0"/>
                <w:sz w:val="20"/>
              </w:rPr>
              <w:t>9</w:t>
            </w:r>
          </w:p>
        </w:tc>
        <w:tc>
          <w:tcPr>
            <w:tcW w:type="dxa" w:w="3230"/>
          </w:tcPr>
          <w:p>
            <w:r/>
            <w:r>
              <w:rPr>
                <w:rFonts w:ascii="Times New Roman" w:hAnsi="Times New Roman" w:eastAsia="Times New Roman"/>
                <w:b w:val="0"/>
                <w:i w:val="0"/>
                <w:sz w:val="20"/>
              </w:rPr>
              <w:t>Hipotez testleri ve karşılaştırmalı analiz</w:t>
            </w:r>
          </w:p>
        </w:tc>
        <w:tc>
          <w:tcPr>
            <w:tcW w:type="dxa" w:w="3230"/>
          </w:tcPr>
          <w:p>
            <w:pPr>
              <w:jc w:val="center"/>
            </w:pPr>
            <w:r/>
            <w:r>
              <w:rPr>
                <w:rFonts w:ascii="Times New Roman" w:hAnsi="Times New Roman" w:eastAsia="Times New Roman"/>
                <w:b w:val="0"/>
                <w:i w:val="0"/>
                <w:sz w:val="20"/>
              </w:rPr>
              <w:t>8–9</w:t>
            </w:r>
          </w:p>
        </w:tc>
      </w:tr>
      <w:tr>
        <w:tc>
          <w:tcPr>
            <w:tcW w:type="dxa" w:w="3230"/>
          </w:tcPr>
          <w:p>
            <w:pPr>
              <w:jc w:val="center"/>
            </w:pPr>
            <w:r/>
            <w:r>
              <w:rPr>
                <w:rFonts w:ascii="Times New Roman" w:hAnsi="Times New Roman" w:eastAsia="Times New Roman"/>
                <w:b w:val="0"/>
                <w:i w:val="0"/>
                <w:sz w:val="20"/>
              </w:rPr>
              <w:t>10</w:t>
            </w:r>
          </w:p>
        </w:tc>
        <w:tc>
          <w:tcPr>
            <w:tcW w:type="dxa" w:w="3230"/>
          </w:tcPr>
          <w:p>
            <w:r/>
            <w:r>
              <w:rPr>
                <w:rFonts w:ascii="Times New Roman" w:hAnsi="Times New Roman" w:eastAsia="Times New Roman"/>
                <w:b w:val="0"/>
                <w:i w:val="0"/>
                <w:sz w:val="20"/>
              </w:rPr>
              <w:t>Bulguların yorumlanması ve sektörel çıkarımlar</w:t>
            </w:r>
          </w:p>
        </w:tc>
        <w:tc>
          <w:tcPr>
            <w:tcW w:type="dxa" w:w="3230"/>
          </w:tcPr>
          <w:p>
            <w:pPr>
              <w:jc w:val="center"/>
            </w:pPr>
            <w:r/>
            <w:r>
              <w:rPr>
                <w:rFonts w:ascii="Times New Roman" w:hAnsi="Times New Roman" w:eastAsia="Times New Roman"/>
                <w:b w:val="0"/>
                <w:i w:val="0"/>
                <w:sz w:val="20"/>
              </w:rPr>
              <w:t>9–10</w:t>
            </w:r>
          </w:p>
        </w:tc>
      </w:tr>
      <w:tr>
        <w:tc>
          <w:tcPr>
            <w:tcW w:type="dxa" w:w="3230"/>
          </w:tcPr>
          <w:p>
            <w:pPr>
              <w:jc w:val="center"/>
            </w:pPr>
            <w:r/>
            <w:r>
              <w:rPr>
                <w:rFonts w:ascii="Times New Roman" w:hAnsi="Times New Roman" w:eastAsia="Times New Roman"/>
                <w:b w:val="0"/>
                <w:i w:val="0"/>
                <w:sz w:val="20"/>
              </w:rPr>
              <w:t>11</w:t>
            </w:r>
          </w:p>
        </w:tc>
        <w:tc>
          <w:tcPr>
            <w:tcW w:type="dxa" w:w="3230"/>
          </w:tcPr>
          <w:p>
            <w:r/>
            <w:r>
              <w:rPr>
                <w:rFonts w:ascii="Times New Roman" w:hAnsi="Times New Roman" w:eastAsia="Times New Roman"/>
                <w:b w:val="0"/>
                <w:i w:val="0"/>
                <w:sz w:val="20"/>
              </w:rPr>
              <w:t>Tez yazımı (yöntem, bulgular, tartışma)</w:t>
            </w:r>
          </w:p>
        </w:tc>
        <w:tc>
          <w:tcPr>
            <w:tcW w:type="dxa" w:w="3230"/>
          </w:tcPr>
          <w:p>
            <w:pPr>
              <w:jc w:val="center"/>
            </w:pPr>
            <w:r/>
            <w:r>
              <w:rPr>
                <w:rFonts w:ascii="Times New Roman" w:hAnsi="Times New Roman" w:eastAsia="Times New Roman"/>
                <w:b w:val="0"/>
                <w:i w:val="0"/>
                <w:sz w:val="20"/>
              </w:rPr>
              <w:t>9–11</w:t>
            </w:r>
          </w:p>
        </w:tc>
      </w:tr>
      <w:tr>
        <w:tc>
          <w:tcPr>
            <w:tcW w:type="dxa" w:w="3230"/>
          </w:tcPr>
          <w:p>
            <w:pPr>
              <w:jc w:val="center"/>
            </w:pPr>
            <w:r/>
            <w:r>
              <w:rPr>
                <w:rFonts w:ascii="Times New Roman" w:hAnsi="Times New Roman" w:eastAsia="Times New Roman"/>
                <w:b w:val="0"/>
                <w:i w:val="0"/>
                <w:sz w:val="20"/>
              </w:rPr>
              <w:t>12</w:t>
            </w:r>
          </w:p>
        </w:tc>
        <w:tc>
          <w:tcPr>
            <w:tcW w:type="dxa" w:w="3230"/>
          </w:tcPr>
          <w:p>
            <w:r/>
            <w:r>
              <w:rPr>
                <w:rFonts w:ascii="Times New Roman" w:hAnsi="Times New Roman" w:eastAsia="Times New Roman"/>
                <w:b w:val="0"/>
                <w:i w:val="0"/>
                <w:sz w:val="20"/>
              </w:rPr>
              <w:t>Danışman geri bildirimleri, düzeltme ve teslim</w:t>
            </w:r>
          </w:p>
        </w:tc>
        <w:tc>
          <w:tcPr>
            <w:tcW w:type="dxa" w:w="3230"/>
          </w:tcPr>
          <w:p>
            <w:pPr>
              <w:jc w:val="center"/>
            </w:pPr>
            <w:r/>
            <w:r>
              <w:rPr>
                <w:rFonts w:ascii="Times New Roman" w:hAnsi="Times New Roman" w:eastAsia="Times New Roman"/>
                <w:b w:val="0"/>
                <w:i w:val="0"/>
                <w:sz w:val="20"/>
              </w:rPr>
              <w:t>11–12</w:t>
            </w:r>
          </w:p>
        </w:tc>
      </w:tr>
    </w:tbl>
    <w:p>
      <w:pPr>
        <w:spacing w:before="280" w:after="120"/>
      </w:pPr>
      <w:r>
        <w:rPr>
          <w:rFonts w:ascii="Times New Roman" w:hAnsi="Times New Roman" w:eastAsia="Times New Roman"/>
          <w:b/>
          <w:i w:val="0"/>
          <w:sz w:val="24"/>
        </w:rPr>
        <w:t>7. RİSK YÖNETİMİ TABLOSU / RISK MANAGEMENT PLAN</w:t>
      </w:r>
    </w:p>
    <w:tbl>
      <w:tblPr>
        <w:tblStyle w:val="TableGrid"/>
        <w:tblW w:type="auto" w:w="0"/>
        <w:tblLook w:firstColumn="1" w:firstRow="1" w:lastColumn="0" w:lastRow="0" w:noHBand="0" w:noVBand="1" w:val="04A0"/>
      </w:tblPr>
      <w:tblGrid>
        <w:gridCol w:w="4844"/>
        <w:gridCol w:w="4844"/>
      </w:tblGrid>
      <w:tr>
        <w:tc>
          <w:tcPr>
            <w:tcW w:type="dxa" w:w="4844"/>
            <w:shd w:fill="1F4E79" w:val="clear"/>
          </w:tcPr>
          <w:p>
            <w:pPr>
              <w:jc w:val="center"/>
            </w:pPr>
            <w:r/>
            <w:r>
              <w:rPr>
                <w:rFonts w:ascii="Times New Roman" w:hAnsi="Times New Roman" w:eastAsia="Times New Roman"/>
                <w:b/>
                <w:i w:val="0"/>
                <w:color w:val="FFFFFF"/>
                <w:sz w:val="20"/>
              </w:rPr>
              <w:t>Potansiyel Riskler / Potential Risks</w:t>
            </w:r>
          </w:p>
        </w:tc>
        <w:tc>
          <w:tcPr>
            <w:tcW w:type="dxa" w:w="4844"/>
            <w:shd w:fill="1F4E79" w:val="clear"/>
          </w:tcPr>
          <w:p>
            <w:pPr>
              <w:jc w:val="center"/>
            </w:pPr>
            <w:r/>
            <w:r>
              <w:rPr>
                <w:rFonts w:ascii="Times New Roman" w:hAnsi="Times New Roman" w:eastAsia="Times New Roman"/>
                <w:b/>
                <w:i w:val="0"/>
                <w:color w:val="FFFFFF"/>
                <w:sz w:val="20"/>
              </w:rPr>
              <w:t>B Planı / Plan-B</w:t>
            </w:r>
          </w:p>
        </w:tc>
      </w:tr>
      <w:tr>
        <w:tc>
          <w:tcPr>
            <w:tcW w:type="dxa" w:w="4844"/>
          </w:tcPr>
          <w:p>
            <w:r/>
            <w:r>
              <w:rPr>
                <w:rFonts w:ascii="Times New Roman" w:hAnsi="Times New Roman" w:eastAsia="Times New Roman"/>
                <w:b w:val="0"/>
                <w:i w:val="0"/>
                <w:sz w:val="20"/>
              </w:rPr>
              <w:t>Şikayetvar sayfa yapısı değişimi veya erişim kısıtı nedeniyle veri toplamanın aksaması</w:t>
            </w:r>
          </w:p>
        </w:tc>
        <w:tc>
          <w:tcPr>
            <w:tcW w:type="dxa" w:w="4844"/>
          </w:tcPr>
          <w:p>
            <w:r/>
            <w:r>
              <w:rPr>
                <w:rFonts w:ascii="Times New Roman" w:hAnsi="Times New Roman" w:eastAsia="Times New Roman"/>
                <w:b w:val="0"/>
                <w:i w:val="0"/>
                <w:sz w:val="20"/>
              </w:rPr>
              <w:t>B Planı: Daha önce toplanmış arşiv CSV’ler kullanılır; alternatif dönem/örneklem ile analiz sürdürülür; gerekirse manuel doğrulanmış örneklem genişletilir.</w:t>
            </w:r>
          </w:p>
        </w:tc>
      </w:tr>
      <w:tr>
        <w:tc>
          <w:tcPr>
            <w:tcW w:type="dxa" w:w="4844"/>
          </w:tcPr>
          <w:p>
            <w:r/>
            <w:r>
              <w:rPr>
                <w:rFonts w:ascii="Times New Roman" w:hAnsi="Times New Roman" w:eastAsia="Times New Roman"/>
                <w:b w:val="0"/>
                <w:i w:val="0"/>
                <w:sz w:val="20"/>
              </w:rPr>
              <w:t>Sınıf dengesizliği (özellikle İşBankası’nda çözülmeyen şikayetlerin baskınlığı) model performansını düşürebilir</w:t>
            </w:r>
          </w:p>
        </w:tc>
        <w:tc>
          <w:tcPr>
            <w:tcW w:type="dxa" w:w="4844"/>
          </w:tcPr>
          <w:p>
            <w:r/>
            <w:r>
              <w:rPr>
                <w:rFonts w:ascii="Times New Roman" w:hAnsi="Times New Roman" w:eastAsia="Times New Roman"/>
                <w:b w:val="0"/>
                <w:i w:val="0"/>
                <w:sz w:val="20"/>
              </w:rPr>
              <w:t>B Planı: class_weight=balanced, alternatif eşikler, Precision–Recall odaklı değerlendirme; gerekirse SMOTE/undersampling ve ek meta özellikler denenir.</w:t>
            </w:r>
          </w:p>
        </w:tc>
      </w:tr>
      <w:tr>
        <w:tc>
          <w:tcPr>
            <w:tcW w:type="dxa" w:w="4844"/>
          </w:tcPr>
          <w:p>
            <w:r/>
            <w:r>
              <w:rPr>
                <w:rFonts w:ascii="Times New Roman" w:hAnsi="Times New Roman" w:eastAsia="Times New Roman"/>
                <w:b w:val="0"/>
                <w:i w:val="0"/>
                <w:sz w:val="20"/>
              </w:rPr>
              <w:t>Türkçe stemming gürültüsü / stop-word yetersizliği konu kalitesini bozabilir</w:t>
            </w:r>
          </w:p>
        </w:tc>
        <w:tc>
          <w:tcPr>
            <w:tcW w:type="dxa" w:w="4844"/>
          </w:tcPr>
          <w:p>
            <w:r/>
            <w:r>
              <w:rPr>
                <w:rFonts w:ascii="Times New Roman" w:hAnsi="Times New Roman" w:eastAsia="Times New Roman"/>
                <w:b w:val="0"/>
                <w:i w:val="0"/>
                <w:sz w:val="20"/>
              </w:rPr>
              <w:t>B Planı: Post-stem filtre ve LDA-özel stop listesi güncellenir; coherence düşerse k aralığı ve min/max belge frekansı yeniden ayarlanır.</w:t>
            </w:r>
          </w:p>
        </w:tc>
      </w:tr>
      <w:tr>
        <w:tc>
          <w:tcPr>
            <w:tcW w:type="dxa" w:w="4844"/>
          </w:tcPr>
          <w:p>
            <w:r/>
            <w:r>
              <w:rPr>
                <w:rFonts w:ascii="Times New Roman" w:hAnsi="Times New Roman" w:eastAsia="Times New Roman"/>
                <w:b w:val="0"/>
                <w:i w:val="0"/>
                <w:sz w:val="20"/>
              </w:rPr>
              <w:t>H3 eşiğinin (≥%70 accuracy) tüm banka–algoritma kombinasyonlarında sağlanamaması</w:t>
            </w:r>
          </w:p>
        </w:tc>
        <w:tc>
          <w:tcPr>
            <w:tcW w:type="dxa" w:w="4844"/>
          </w:tcPr>
          <w:p>
            <w:r/>
            <w:r>
              <w:rPr>
                <w:rFonts w:ascii="Times New Roman" w:hAnsi="Times New Roman" w:eastAsia="Times New Roman"/>
                <w:b w:val="0"/>
                <w:i w:val="0"/>
                <w:sz w:val="20"/>
              </w:rPr>
              <w:t>B Planı: Banka özelinde en iyi algoritma raporlanır; F1/ROC-AUC ile tamamlayıcı değerlendirme yapılır; BERTurk vb. transformer tabanlı temsil deneysel ek olarak değerlendirilir.</w:t>
            </w:r>
          </w:p>
        </w:tc>
      </w:tr>
      <w:tr>
        <w:tc>
          <w:tcPr>
            <w:tcW w:type="dxa" w:w="4844"/>
          </w:tcPr>
          <w:p>
            <w:r/>
            <w:r>
              <w:rPr>
                <w:rFonts w:ascii="Times New Roman" w:hAnsi="Times New Roman" w:eastAsia="Times New Roman"/>
                <w:b w:val="0"/>
                <w:i w:val="0"/>
                <w:sz w:val="20"/>
              </w:rPr>
              <w:t>Zaman aralığının kısmi olması (ör. yalnızca ilk dört ay) trend genellenebilirliğini sınırlayabilir</w:t>
            </w:r>
          </w:p>
        </w:tc>
        <w:tc>
          <w:tcPr>
            <w:tcW w:type="dxa" w:w="4844"/>
          </w:tcPr>
          <w:p>
            <w:r/>
            <w:r>
              <w:rPr>
                <w:rFonts w:ascii="Times New Roman" w:hAnsi="Times New Roman" w:eastAsia="Times New Roman"/>
                <w:b w:val="0"/>
                <w:i w:val="0"/>
                <w:sz w:val="20"/>
              </w:rPr>
              <w:t>B Planı: Tez sürecinde veri dönemi genişletilir; mevcut dönemde banka içi karşılaştırmalar ve konu–çözüm analizleri öncelenir.</w:t>
            </w:r>
          </w:p>
        </w:tc>
      </w:tr>
    </w:tbl>
    <w:p>
      <w:pPr>
        <w:spacing w:before="280" w:after="120"/>
      </w:pPr>
      <w:r>
        <w:rPr>
          <w:rFonts w:ascii="Times New Roman" w:hAnsi="Times New Roman" w:eastAsia="Times New Roman"/>
          <w:b/>
          <w:i w:val="0"/>
          <w:sz w:val="24"/>
        </w:rPr>
        <w:t>8. ETİK KURUL / ETHIC COMMITTEE</w:t>
      </w:r>
    </w:p>
    <w:p>
      <w:pPr>
        <w:spacing w:line="276" w:lineRule="auto" w:after="120"/>
        <w:jc w:val="both"/>
      </w:pPr>
      <w:r>
        <w:rPr>
          <w:rFonts w:ascii="Times New Roman" w:hAnsi="Times New Roman" w:eastAsia="Times New Roman"/>
          <w:b w:val="0"/>
          <w:i w:val="0"/>
          <w:sz w:val="22"/>
        </w:rPr>
        <w:t>☐ Bu çalışma için Etik Kurul onayına gerek vardır.</w:t>
        <w:br/>
        <w:t>☑ Bu çalışma için Etik Kurulu onayına gerek yoktur.</w:t>
      </w:r>
    </w:p>
    <w:p>
      <w:pPr>
        <w:spacing w:line="276" w:lineRule="auto" w:after="120"/>
        <w:ind w:firstLine="567"/>
        <w:jc w:val="both"/>
      </w:pPr>
      <w:r>
        <w:rPr>
          <w:rFonts w:ascii="Times New Roman" w:hAnsi="Times New Roman" w:eastAsia="Times New Roman"/>
          <w:b w:val="0"/>
          <w:i w:val="0"/>
          <w:sz w:val="22"/>
        </w:rPr>
        <w:t>Gerekçe: Araştırma, kamuya açık Şikayetvar platformunda yayımlanmış şikayet metinleri ve meta veriler üzerinde yürütülmektedir; bireylere yönelik anket, görüşme veya deneysel müdahale içermemektedir. Yine de danışman yönlendirmesi doğrultusunda Enstitü/Üniversite etik kurallarına uyulacak; gerekli görülmesi halinde Etik Kurul başvurusu yapılacaktır. Kişisel tanımlayıcı bilgilerin raporlarda anonimleştirilmesine özen gösterilecektir.</w:t>
      </w:r>
    </w:p>
    <w:p>
      <w:pPr>
        <w:spacing w:before="280" w:after="120"/>
      </w:pPr>
      <w:r>
        <w:rPr>
          <w:rFonts w:ascii="Times New Roman" w:hAnsi="Times New Roman" w:eastAsia="Times New Roman"/>
          <w:b/>
          <w:i w:val="0"/>
          <w:sz w:val="24"/>
        </w:rPr>
        <w:t>9. KAYNAKLAR / REFERENCES</w:t>
      </w:r>
    </w:p>
    <w:p>
      <w:pPr>
        <w:spacing w:line="276" w:lineRule="auto" w:after="120"/>
        <w:jc w:val="both"/>
      </w:pPr>
      <w:r>
        <w:rPr>
          <w:rFonts w:ascii="Times New Roman" w:hAnsi="Times New Roman" w:eastAsia="Times New Roman"/>
          <w:b w:val="0"/>
          <w:i w:val="0"/>
          <w:sz w:val="20"/>
        </w:rPr>
        <w:t>(Kaynak gösterimi, Marmara Üniversitesi ilgili Enstitü/Fakülte Tez Yazım Kılavuzu formatına göre nihai tezde güncellenecektir. Aşağıda örnek temel kaynaklar listelenmiştir.)</w:t>
      </w:r>
    </w:p>
    <w:p>
      <w:pPr>
        <w:spacing w:after="80"/>
        <w:ind w:left="567" w:hanging="567"/>
      </w:pPr>
      <w:r>
        <w:rPr>
          <w:rFonts w:ascii="Times New Roman" w:hAnsi="Times New Roman" w:eastAsia="Times New Roman"/>
          <w:b w:val="0"/>
          <w:i w:val="0"/>
          <w:sz w:val="20"/>
        </w:rPr>
        <w:t>Blei, D. M., Ng, A. Y., &amp; Jordan, M. I. (2003). Latent Dirichlet allocation. Journal of Machine Learning Research, 3, 993–1022.</w:t>
      </w:r>
    </w:p>
    <w:p>
      <w:pPr>
        <w:spacing w:after="80"/>
        <w:ind w:left="567" w:hanging="567"/>
      </w:pPr>
      <w:r>
        <w:rPr>
          <w:rFonts w:ascii="Times New Roman" w:hAnsi="Times New Roman" w:eastAsia="Times New Roman"/>
          <w:b w:val="0"/>
          <w:i w:val="0"/>
          <w:sz w:val="20"/>
        </w:rPr>
        <w:t>Breiman, L. (2001). Random forests. Machine Learning, 45(1), 5–32.</w:t>
      </w:r>
    </w:p>
    <w:p>
      <w:pPr>
        <w:spacing w:after="80"/>
        <w:ind w:left="567" w:hanging="567"/>
      </w:pPr>
      <w:r>
        <w:rPr>
          <w:rFonts w:ascii="Times New Roman" w:hAnsi="Times New Roman" w:eastAsia="Times New Roman"/>
          <w:b w:val="0"/>
          <w:i w:val="0"/>
          <w:sz w:val="20"/>
        </w:rPr>
        <w:t>Cortes, C., &amp; Vapnik, V. (1995). Support-vector networks. Machine Learning, 20(3), 273–297.</w:t>
      </w:r>
    </w:p>
    <w:p>
      <w:pPr>
        <w:spacing w:after="80"/>
        <w:ind w:left="567" w:hanging="567"/>
      </w:pPr>
      <w:r>
        <w:rPr>
          <w:rFonts w:ascii="Times New Roman" w:hAnsi="Times New Roman" w:eastAsia="Times New Roman"/>
          <w:b w:val="0"/>
          <w:i w:val="0"/>
          <w:sz w:val="20"/>
        </w:rPr>
        <w:t>Parasuraman, A., Zeithaml, V. A., &amp; Berry, L. L. (1988). SERVQUAL: A multiple-item scale for measuring consumer perceptions of service quality. Journal of Retailing, 64(1), 12–40.</w:t>
      </w:r>
    </w:p>
    <w:p>
      <w:pPr>
        <w:spacing w:after="80"/>
        <w:ind w:left="567" w:hanging="567"/>
      </w:pPr>
      <w:r>
        <w:rPr>
          <w:rFonts w:ascii="Times New Roman" w:hAnsi="Times New Roman" w:eastAsia="Times New Roman"/>
          <w:b w:val="0"/>
          <w:i w:val="0"/>
          <w:sz w:val="20"/>
        </w:rPr>
        <w:t>Salton, G., &amp; Buckley, C. (1988). Term-weighting approaches in automatic text retrieval. Information Processing &amp; Management, 24(5), 513–523.</w:t>
      </w:r>
    </w:p>
    <w:p>
      <w:pPr>
        <w:spacing w:after="80"/>
        <w:ind w:left="567" w:hanging="567"/>
      </w:pPr>
      <w:r>
        <w:rPr>
          <w:rFonts w:ascii="Times New Roman" w:hAnsi="Times New Roman" w:eastAsia="Times New Roman"/>
          <w:b w:val="0"/>
          <w:i w:val="0"/>
          <w:sz w:val="20"/>
        </w:rPr>
        <w:t>Manning, C. D., Raghavan, P., &amp; Schütze, H. (2008). Introduction to information retrieval. Cambridge University Press.</w:t>
      </w:r>
    </w:p>
    <w:p>
      <w:pPr>
        <w:spacing w:after="80"/>
        <w:ind w:left="567" w:hanging="567"/>
      </w:pPr>
      <w:r>
        <w:rPr>
          <w:rFonts w:ascii="Times New Roman" w:hAnsi="Times New Roman" w:eastAsia="Times New Roman"/>
          <w:b w:val="0"/>
          <w:i w:val="0"/>
          <w:sz w:val="20"/>
        </w:rPr>
        <w:t>Pedregosa, F., et al. (2011). Scikit-learn: Machine learning in Python. Journal of Machine Learning Research, 12, 2825–2830.</w:t>
      </w:r>
    </w:p>
    <w:p>
      <w:pPr>
        <w:spacing w:after="80"/>
        <w:ind w:left="567" w:hanging="567"/>
      </w:pPr>
      <w:r>
        <w:rPr>
          <w:rFonts w:ascii="Times New Roman" w:hAnsi="Times New Roman" w:eastAsia="Times New Roman"/>
          <w:b w:val="0"/>
          <w:i w:val="0"/>
          <w:sz w:val="20"/>
        </w:rPr>
        <w:t>Řehůřek, R., &amp; Sojka, P. (2010). Software framework for topic modelling with large corpora. LREC 2010 Workshop on New Challenges for NLP Frameworks.</w:t>
      </w:r>
    </w:p>
    <w:p>
      <w:pPr>
        <w:spacing w:after="80"/>
        <w:ind w:left="567" w:hanging="567"/>
      </w:pPr>
      <w:r>
        <w:rPr>
          <w:rFonts w:ascii="Times New Roman" w:hAnsi="Times New Roman" w:eastAsia="Times New Roman"/>
          <w:b w:val="0"/>
          <w:i w:val="0"/>
          <w:sz w:val="20"/>
        </w:rPr>
        <w:t>Oliver, R. L. (1980). A cognitive model of the antecedents and consequences of satisfaction decisions. Journal of Marketing Research, 17(4), 460–469.</w:t>
      </w:r>
    </w:p>
    <w:p>
      <w:pPr>
        <w:spacing w:after="80"/>
        <w:ind w:left="567" w:hanging="567"/>
      </w:pPr>
      <w:r>
        <w:rPr>
          <w:rFonts w:ascii="Times New Roman" w:hAnsi="Times New Roman" w:eastAsia="Times New Roman"/>
          <w:b w:val="0"/>
          <w:i w:val="0"/>
          <w:sz w:val="20"/>
        </w:rPr>
        <w:t>Agresti, A. (2013). Categorical data analysis (3rd ed.). Wiley.</w:t>
      </w:r>
    </w:p>
    <w:p>
      <w:pPr>
        <w:spacing w:after="80"/>
        <w:ind w:left="567" w:hanging="567"/>
      </w:pPr>
      <w:r>
        <w:rPr>
          <w:rFonts w:ascii="Times New Roman" w:hAnsi="Times New Roman" w:eastAsia="Times New Roman"/>
          <w:b w:val="0"/>
          <w:i w:val="0"/>
          <w:sz w:val="20"/>
        </w:rPr>
        <w:t>Jurafsky, D., &amp; Martin, J. H. (2023). Speech and language processing (3rd ed. draft). Stanford University.</w:t>
      </w:r>
    </w:p>
    <w:p>
      <w:pPr>
        <w:spacing w:after="80"/>
        <w:ind w:left="567" w:hanging="567"/>
      </w:pPr>
      <w:r>
        <w:rPr>
          <w:rFonts w:ascii="Times New Roman" w:hAnsi="Times New Roman" w:eastAsia="Times New Roman"/>
          <w:b w:val="0"/>
          <w:i w:val="0"/>
          <w:sz w:val="20"/>
        </w:rPr>
        <w:t>Şikayetvar. (2026). Çevrimiçi müşteri şikayet platformu. https://www.sikayetvar.com</w:t>
      </w:r>
    </w:p>
    <w:p>
      <w:pPr>
        <w:spacing w:before="320" w:after="120"/>
      </w:pPr>
      <w:r>
        <w:rPr>
          <w:rFonts w:ascii="Times New Roman" w:hAnsi="Times New Roman" w:eastAsia="Times New Roman"/>
          <w:b/>
          <w:i w:val="0"/>
          <w:sz w:val="24"/>
        </w:rPr>
        <w:t>EK A — PROJE YÜKSEK DÜZEY ÖZETİ (UYGULAMA BORU HATTI)</w:t>
      </w:r>
    </w:p>
    <w:p>
      <w:pPr>
        <w:spacing w:line="276" w:lineRule="auto" w:after="120"/>
        <w:jc w:val="both"/>
      </w:pPr>
      <w:r>
        <w:rPr>
          <w:rFonts w:ascii="Times New Roman" w:hAnsi="Times New Roman" w:eastAsia="Times New Roman"/>
          <w:b w:val="0"/>
          <w:i w:val="0"/>
          <w:sz w:val="22"/>
        </w:rPr>
        <w:t>Bu ek, tez önerisine temel oluşturan mevcut yazılım projesinin yüksek düzey mimarisini özetler.</w:t>
      </w:r>
    </w:p>
    <w:p>
      <w:pPr>
        <w:spacing w:before="120" w:after="120"/>
      </w:pPr>
      <w:r>
        <w:rPr>
          <w:rFonts w:ascii="Times New Roman" w:hAnsi="Times New Roman" w:eastAsia="Times New Roman"/>
          <w:b/>
          <w:i w:val="0"/>
          <w:sz w:val="22"/>
        </w:rPr>
        <w:t>A.1. Proje Bileşenleri</w:t>
      </w:r>
    </w:p>
    <w:p>
      <w:pPr>
        <w:pStyle w:val="ListBullet"/>
        <w:spacing w:after="60"/>
      </w:pPr>
      <w:r>
        <w:rPr>
          <w:rFonts w:ascii="Times New Roman" w:hAnsi="Times New Roman" w:eastAsia="Times New Roman"/>
          <w:b w:val="0"/>
          <w:i w:val="0"/>
          <w:sz w:val="22"/>
        </w:rPr>
        <w:t>sikayetvar-web-scraper/: Şikayetvar’dan banka bazlı ham CSV toplama scriptleri</w:t>
      </w:r>
    </w:p>
    <w:p>
      <w:pPr>
        <w:pStyle w:val="ListBullet"/>
        <w:spacing w:after="60"/>
      </w:pPr>
      <w:r>
        <w:rPr>
          <w:rFonts w:ascii="Times New Roman" w:hAnsi="Times New Roman" w:eastAsia="Times New Roman"/>
          <w:b w:val="0"/>
          <w:i w:val="0"/>
          <w:sz w:val="22"/>
        </w:rPr>
        <w:t>adim1_kurulum.py: klasör yapısı, CSV normalizasyonu, NLTK, stop-word üretimi</w:t>
      </w:r>
    </w:p>
    <w:p>
      <w:pPr>
        <w:pStyle w:val="ListBullet"/>
        <w:spacing w:after="60"/>
      </w:pPr>
      <w:r>
        <w:rPr>
          <w:rFonts w:ascii="Times New Roman" w:hAnsi="Times New Roman" w:eastAsia="Times New Roman"/>
          <w:b w:val="0"/>
          <w:i w:val="0"/>
          <w:sz w:val="22"/>
        </w:rPr>
        <w:t>adim2_eda.py: keşifsel analiz ve figürler (01–09)</w:t>
      </w:r>
    </w:p>
    <w:p>
      <w:pPr>
        <w:pStyle w:val="ListBullet"/>
        <w:spacing w:after="60"/>
      </w:pPr>
      <w:r>
        <w:rPr>
          <w:rFonts w:ascii="Times New Roman" w:hAnsi="Times New Roman" w:eastAsia="Times New Roman"/>
          <w:b w:val="0"/>
          <w:i w:val="0"/>
          <w:sz w:val="22"/>
        </w:rPr>
        <w:t>adim3_onisleme.py: Türkçe NLP ön işleme ve kelime bulutu/n-gram çıktıları (10–16)</w:t>
      </w:r>
    </w:p>
    <w:p>
      <w:pPr>
        <w:pStyle w:val="ListBullet"/>
        <w:spacing w:after="60"/>
      </w:pPr>
      <w:r>
        <w:rPr>
          <w:rFonts w:ascii="Times New Roman" w:hAnsi="Times New Roman" w:eastAsia="Times New Roman"/>
          <w:b w:val="0"/>
          <w:i w:val="0"/>
          <w:sz w:val="22"/>
        </w:rPr>
        <w:t>adim4_lda.py: banka bazlı LDA, coherence, pyLDAvis, konu–çözüm analizi (17–21)</w:t>
      </w:r>
    </w:p>
    <w:p>
      <w:pPr>
        <w:pStyle w:val="ListBullet"/>
        <w:spacing w:after="60"/>
      </w:pPr>
      <w:r>
        <w:rPr>
          <w:rFonts w:ascii="Times New Roman" w:hAnsi="Times New Roman" w:eastAsia="Times New Roman"/>
          <w:b w:val="0"/>
          <w:i w:val="0"/>
          <w:sz w:val="22"/>
        </w:rPr>
        <w:t>adim5_tfidf.py: TF-IDF + LR/RF/SVM, ROC/karışıklık matrisi/özellik önemi (23–29)</w:t>
      </w:r>
    </w:p>
    <w:p>
      <w:pPr>
        <w:pStyle w:val="ListBullet"/>
        <w:spacing w:after="60"/>
      </w:pPr>
      <w:r>
        <w:rPr>
          <w:rFonts w:ascii="Times New Roman" w:hAnsi="Times New Roman" w:eastAsia="Times New Roman"/>
          <w:b w:val="0"/>
          <w:i w:val="0"/>
          <w:sz w:val="22"/>
        </w:rPr>
        <w:t>adim6_karsilastirma.py: H1–H5 hipotez testleri ve yönetici panoları (30–39)</w:t>
      </w:r>
    </w:p>
    <w:p>
      <w:pPr>
        <w:pStyle w:val="ListBullet"/>
        <w:spacing w:after="60"/>
      </w:pPr>
      <w:r>
        <w:rPr>
          <w:rFonts w:ascii="Times New Roman" w:hAnsi="Times New Roman" w:eastAsia="Times New Roman"/>
          <w:b w:val="0"/>
          <w:i w:val="0"/>
          <w:sz w:val="22"/>
        </w:rPr>
        <w:t>config.py / requirements.txt: merkezi parametreler ve bağımlılıklar</w:t>
      </w:r>
    </w:p>
    <w:p>
      <w:pPr>
        <w:spacing w:before="120" w:after="120"/>
      </w:pPr>
      <w:r>
        <w:rPr>
          <w:rFonts w:ascii="Times New Roman" w:hAnsi="Times New Roman" w:eastAsia="Times New Roman"/>
          <w:b/>
          <w:i w:val="0"/>
          <w:sz w:val="22"/>
        </w:rPr>
        <w:t>A.2. Mevcut Veri Özeti (2026)</w:t>
      </w:r>
    </w:p>
    <w:tbl>
      <w:tblPr>
        <w:tblStyle w:val="TableGrid"/>
        <w:tblW w:type="auto" w:w="0"/>
        <w:tblLook w:firstColumn="1" w:firstRow="1" w:lastColumn="0" w:lastRow="0" w:noHBand="0" w:noVBand="1" w:val="04A0"/>
      </w:tblPr>
      <w:tblGrid>
        <w:gridCol w:w="1938"/>
        <w:gridCol w:w="1938"/>
        <w:gridCol w:w="1938"/>
        <w:gridCol w:w="1938"/>
        <w:gridCol w:w="1938"/>
      </w:tblGrid>
      <w:tr>
        <w:tc>
          <w:tcPr>
            <w:tcW w:type="dxa" w:w="1938"/>
            <w:shd w:fill="1F4E79" w:val="clear"/>
          </w:tcPr>
          <w:p>
            <w:pPr>
              <w:jc w:val="center"/>
            </w:pPr>
            <w:r/>
            <w:r>
              <w:rPr>
                <w:rFonts w:ascii="Times New Roman" w:hAnsi="Times New Roman" w:eastAsia="Times New Roman"/>
                <w:b/>
                <w:i w:val="0"/>
                <w:color w:val="FFFFFF"/>
                <w:sz w:val="18"/>
              </w:rPr>
              <w:t>Banka</w:t>
            </w:r>
          </w:p>
        </w:tc>
        <w:tc>
          <w:tcPr>
            <w:tcW w:type="dxa" w:w="1938"/>
            <w:shd w:fill="1F4E79" w:val="clear"/>
          </w:tcPr>
          <w:p>
            <w:pPr>
              <w:jc w:val="center"/>
            </w:pPr>
            <w:r/>
            <w:r>
              <w:rPr>
                <w:rFonts w:ascii="Times New Roman" w:hAnsi="Times New Roman" w:eastAsia="Times New Roman"/>
                <w:b/>
                <w:i w:val="0"/>
                <w:color w:val="FFFFFF"/>
                <w:sz w:val="18"/>
              </w:rPr>
              <w:t>Ham Kayıt</w:t>
            </w:r>
          </w:p>
        </w:tc>
        <w:tc>
          <w:tcPr>
            <w:tcW w:type="dxa" w:w="1938"/>
            <w:shd w:fill="1F4E79" w:val="clear"/>
          </w:tcPr>
          <w:p>
            <w:pPr>
              <w:jc w:val="center"/>
            </w:pPr>
            <w:r/>
            <w:r>
              <w:rPr>
                <w:rFonts w:ascii="Times New Roman" w:hAnsi="Times New Roman" w:eastAsia="Times New Roman"/>
                <w:b/>
                <w:i w:val="0"/>
                <w:color w:val="FFFFFF"/>
                <w:sz w:val="18"/>
              </w:rPr>
              <w:t>Temiz Kayıt*</w:t>
            </w:r>
          </w:p>
        </w:tc>
        <w:tc>
          <w:tcPr>
            <w:tcW w:type="dxa" w:w="1938"/>
            <w:shd w:fill="1F4E79" w:val="clear"/>
          </w:tcPr>
          <w:p>
            <w:pPr>
              <w:jc w:val="center"/>
            </w:pPr>
            <w:r/>
            <w:r>
              <w:rPr>
                <w:rFonts w:ascii="Times New Roman" w:hAnsi="Times New Roman" w:eastAsia="Times New Roman"/>
                <w:b/>
                <w:i w:val="0"/>
                <w:color w:val="FFFFFF"/>
                <w:sz w:val="18"/>
              </w:rPr>
              <w:t>Çözüm Oranı*</w:t>
            </w:r>
          </w:p>
        </w:tc>
        <w:tc>
          <w:tcPr>
            <w:tcW w:type="dxa" w:w="1938"/>
            <w:shd w:fill="1F4E79" w:val="clear"/>
          </w:tcPr>
          <w:p>
            <w:pPr>
              <w:jc w:val="center"/>
            </w:pPr>
            <w:r/>
            <w:r>
              <w:rPr>
                <w:rFonts w:ascii="Times New Roman" w:hAnsi="Times New Roman" w:eastAsia="Times New Roman"/>
                <w:b/>
                <w:i w:val="0"/>
                <w:color w:val="FFFFFF"/>
                <w:sz w:val="18"/>
              </w:rPr>
              <w:t>Yanıt Oranı*</w:t>
            </w:r>
          </w:p>
        </w:tc>
      </w:tr>
      <w:tr>
        <w:tc>
          <w:tcPr>
            <w:tcW w:type="dxa" w:w="1938"/>
          </w:tcPr>
          <w:p>
            <w:pPr>
              <w:jc w:val="center"/>
            </w:pPr>
            <w:r/>
            <w:r>
              <w:rPr>
                <w:rFonts w:ascii="Times New Roman" w:hAnsi="Times New Roman" w:eastAsia="Times New Roman"/>
                <w:b w:val="0"/>
                <w:i w:val="0"/>
                <w:sz w:val="18"/>
              </w:rPr>
              <w:t>VakıfBank</w:t>
            </w:r>
          </w:p>
        </w:tc>
        <w:tc>
          <w:tcPr>
            <w:tcW w:type="dxa" w:w="1938"/>
          </w:tcPr>
          <w:p>
            <w:pPr>
              <w:jc w:val="center"/>
            </w:pPr>
            <w:r/>
            <w:r>
              <w:rPr>
                <w:rFonts w:ascii="Times New Roman" w:hAnsi="Times New Roman" w:eastAsia="Times New Roman"/>
                <w:b w:val="0"/>
                <w:i w:val="0"/>
                <w:sz w:val="18"/>
              </w:rPr>
              <w:t>809</w:t>
            </w:r>
          </w:p>
        </w:tc>
        <w:tc>
          <w:tcPr>
            <w:tcW w:type="dxa" w:w="1938"/>
          </w:tcPr>
          <w:p>
            <w:pPr>
              <w:jc w:val="center"/>
            </w:pPr>
            <w:r/>
            <w:r>
              <w:rPr>
                <w:rFonts w:ascii="Times New Roman" w:hAnsi="Times New Roman" w:eastAsia="Times New Roman"/>
                <w:b w:val="0"/>
                <w:i w:val="0"/>
                <w:sz w:val="18"/>
              </w:rPr>
              <w:t>756</w:t>
            </w:r>
          </w:p>
        </w:tc>
        <w:tc>
          <w:tcPr>
            <w:tcW w:type="dxa" w:w="1938"/>
          </w:tcPr>
          <w:p>
            <w:pPr>
              <w:jc w:val="center"/>
            </w:pPr>
            <w:r/>
            <w:r>
              <w:rPr>
                <w:rFonts w:ascii="Times New Roman" w:hAnsi="Times New Roman" w:eastAsia="Times New Roman"/>
                <w:b w:val="0"/>
                <w:i w:val="0"/>
                <w:sz w:val="18"/>
              </w:rPr>
              <w:t>%54,5</w:t>
            </w:r>
          </w:p>
        </w:tc>
        <w:tc>
          <w:tcPr>
            <w:tcW w:type="dxa" w:w="1938"/>
          </w:tcPr>
          <w:p>
            <w:pPr>
              <w:jc w:val="center"/>
            </w:pPr>
            <w:r/>
            <w:r>
              <w:rPr>
                <w:rFonts w:ascii="Times New Roman" w:hAnsi="Times New Roman" w:eastAsia="Times New Roman"/>
                <w:b w:val="0"/>
                <w:i w:val="0"/>
                <w:sz w:val="18"/>
              </w:rPr>
              <w:t>%100,0</w:t>
            </w:r>
          </w:p>
        </w:tc>
      </w:tr>
      <w:tr>
        <w:tc>
          <w:tcPr>
            <w:tcW w:type="dxa" w:w="1938"/>
          </w:tcPr>
          <w:p>
            <w:pPr>
              <w:jc w:val="center"/>
            </w:pPr>
            <w:r/>
            <w:r>
              <w:rPr>
                <w:rFonts w:ascii="Times New Roman" w:hAnsi="Times New Roman" w:eastAsia="Times New Roman"/>
                <w:b w:val="0"/>
                <w:i w:val="0"/>
                <w:sz w:val="18"/>
              </w:rPr>
              <w:t>İşBankası</w:t>
            </w:r>
          </w:p>
        </w:tc>
        <w:tc>
          <w:tcPr>
            <w:tcW w:type="dxa" w:w="1938"/>
          </w:tcPr>
          <w:p>
            <w:pPr>
              <w:jc w:val="center"/>
            </w:pPr>
            <w:r/>
            <w:r>
              <w:rPr>
                <w:rFonts w:ascii="Times New Roman" w:hAnsi="Times New Roman" w:eastAsia="Times New Roman"/>
                <w:b w:val="0"/>
                <w:i w:val="0"/>
                <w:sz w:val="18"/>
              </w:rPr>
              <w:t>3.781</w:t>
            </w:r>
          </w:p>
        </w:tc>
        <w:tc>
          <w:tcPr>
            <w:tcW w:type="dxa" w:w="1938"/>
          </w:tcPr>
          <w:p>
            <w:pPr>
              <w:jc w:val="center"/>
            </w:pPr>
            <w:r/>
            <w:r>
              <w:rPr>
                <w:rFonts w:ascii="Times New Roman" w:hAnsi="Times New Roman" w:eastAsia="Times New Roman"/>
                <w:b w:val="0"/>
                <w:i w:val="0"/>
                <w:sz w:val="18"/>
              </w:rPr>
              <w:t>3.620</w:t>
            </w:r>
          </w:p>
        </w:tc>
        <w:tc>
          <w:tcPr>
            <w:tcW w:type="dxa" w:w="1938"/>
          </w:tcPr>
          <w:p>
            <w:pPr>
              <w:jc w:val="center"/>
            </w:pPr>
            <w:r/>
            <w:r>
              <w:rPr>
                <w:rFonts w:ascii="Times New Roman" w:hAnsi="Times New Roman" w:eastAsia="Times New Roman"/>
                <w:b w:val="0"/>
                <w:i w:val="0"/>
                <w:sz w:val="18"/>
              </w:rPr>
              <w:t>%22,6</w:t>
            </w:r>
          </w:p>
        </w:tc>
        <w:tc>
          <w:tcPr>
            <w:tcW w:type="dxa" w:w="1938"/>
          </w:tcPr>
          <w:p>
            <w:pPr>
              <w:jc w:val="center"/>
            </w:pPr>
            <w:r/>
            <w:r>
              <w:rPr>
                <w:rFonts w:ascii="Times New Roman" w:hAnsi="Times New Roman" w:eastAsia="Times New Roman"/>
                <w:b w:val="0"/>
                <w:i w:val="0"/>
                <w:sz w:val="18"/>
              </w:rPr>
              <w:t>%17,1</w:t>
            </w:r>
          </w:p>
        </w:tc>
      </w:tr>
      <w:tr>
        <w:tc>
          <w:tcPr>
            <w:tcW w:type="dxa" w:w="1938"/>
          </w:tcPr>
          <w:p>
            <w:pPr>
              <w:jc w:val="center"/>
            </w:pPr>
            <w:r/>
            <w:r>
              <w:rPr>
                <w:rFonts w:ascii="Times New Roman" w:hAnsi="Times New Roman" w:eastAsia="Times New Roman"/>
                <w:b w:val="0"/>
                <w:i w:val="0"/>
                <w:sz w:val="18"/>
              </w:rPr>
              <w:t>Kuveyt Türk</w:t>
            </w:r>
          </w:p>
        </w:tc>
        <w:tc>
          <w:tcPr>
            <w:tcW w:type="dxa" w:w="1938"/>
          </w:tcPr>
          <w:p>
            <w:pPr>
              <w:jc w:val="center"/>
            </w:pPr>
            <w:r/>
            <w:r>
              <w:rPr>
                <w:rFonts w:ascii="Times New Roman" w:hAnsi="Times New Roman" w:eastAsia="Times New Roman"/>
                <w:b w:val="0"/>
                <w:i w:val="0"/>
                <w:sz w:val="18"/>
              </w:rPr>
              <w:t>1.806</w:t>
            </w:r>
          </w:p>
        </w:tc>
        <w:tc>
          <w:tcPr>
            <w:tcW w:type="dxa" w:w="1938"/>
          </w:tcPr>
          <w:p>
            <w:pPr>
              <w:jc w:val="center"/>
            </w:pPr>
            <w:r/>
            <w:r>
              <w:rPr>
                <w:rFonts w:ascii="Times New Roman" w:hAnsi="Times New Roman" w:eastAsia="Times New Roman"/>
                <w:b w:val="0"/>
                <w:i w:val="0"/>
                <w:sz w:val="18"/>
              </w:rPr>
              <w:t>1.657</w:t>
            </w:r>
          </w:p>
        </w:tc>
        <w:tc>
          <w:tcPr>
            <w:tcW w:type="dxa" w:w="1938"/>
          </w:tcPr>
          <w:p>
            <w:pPr>
              <w:jc w:val="center"/>
            </w:pPr>
            <w:r/>
            <w:r>
              <w:rPr>
                <w:rFonts w:ascii="Times New Roman" w:hAnsi="Times New Roman" w:eastAsia="Times New Roman"/>
                <w:b w:val="0"/>
                <w:i w:val="0"/>
                <w:sz w:val="18"/>
              </w:rPr>
              <w:t>%42,3</w:t>
            </w:r>
          </w:p>
        </w:tc>
        <w:tc>
          <w:tcPr>
            <w:tcW w:type="dxa" w:w="1938"/>
          </w:tcPr>
          <w:p>
            <w:pPr>
              <w:jc w:val="center"/>
            </w:pPr>
            <w:r/>
            <w:r>
              <w:rPr>
                <w:rFonts w:ascii="Times New Roman" w:hAnsi="Times New Roman" w:eastAsia="Times New Roman"/>
                <w:b w:val="0"/>
                <w:i w:val="0"/>
                <w:sz w:val="18"/>
              </w:rPr>
              <w:t>%86,9</w:t>
            </w:r>
          </w:p>
        </w:tc>
      </w:tr>
    </w:tbl>
    <w:p>
      <w:pPr>
        <w:spacing w:line="276" w:lineRule="auto" w:after="120"/>
        <w:jc w:val="both"/>
      </w:pPr>
      <w:r>
        <w:rPr>
          <w:rFonts w:ascii="Times New Roman" w:hAnsi="Times New Roman" w:eastAsia="Times New Roman"/>
          <w:b w:val="0"/>
          <w:i w:val="0"/>
          <w:sz w:val="18"/>
        </w:rPr>
        <w:t>* Temiz kayıt ve oranlar processed veri / genel özet metriklerine göredir. Dönem: 2026-01-01 … 2026-04-30.</w:t>
      </w:r>
    </w:p>
    <w:p>
      <w:pPr>
        <w:spacing w:before="120" w:after="120"/>
      </w:pPr>
      <w:r>
        <w:rPr>
          <w:rFonts w:ascii="Times New Roman" w:hAnsi="Times New Roman" w:eastAsia="Times New Roman"/>
          <w:b/>
          <w:i w:val="0"/>
          <w:sz w:val="22"/>
        </w:rPr>
        <w:t>A.3. Hipotez Sonuçlarının Özeti (Mevcut Çalıştırma)</w:t>
      </w:r>
    </w:p>
    <w:tbl>
      <w:tblPr>
        <w:tblStyle w:val="TableGrid"/>
        <w:tblW w:type="auto" w:w="0"/>
        <w:tblLook w:firstColumn="1" w:firstRow="1" w:lastColumn="0" w:lastRow="0" w:noHBand="0" w:noVBand="1" w:val="04A0"/>
      </w:tblPr>
      <w:tblGrid>
        <w:gridCol w:w="3230"/>
        <w:gridCol w:w="3230"/>
        <w:gridCol w:w="3230"/>
      </w:tblGrid>
      <w:tr>
        <w:tc>
          <w:tcPr>
            <w:tcW w:type="dxa" w:w="3230"/>
            <w:shd w:fill="1F4E79" w:val="clear"/>
          </w:tcPr>
          <w:p>
            <w:pPr>
              <w:jc w:val="center"/>
            </w:pPr>
            <w:r/>
            <w:r>
              <w:rPr>
                <w:rFonts w:ascii="Times New Roman" w:hAnsi="Times New Roman" w:eastAsia="Times New Roman"/>
                <w:b/>
                <w:i w:val="0"/>
                <w:color w:val="FFFFFF"/>
                <w:sz w:val="18"/>
              </w:rPr>
              <w:t>Hipotez</w:t>
            </w:r>
          </w:p>
        </w:tc>
        <w:tc>
          <w:tcPr>
            <w:tcW w:type="dxa" w:w="3230"/>
            <w:shd w:fill="1F4E79" w:val="clear"/>
          </w:tcPr>
          <w:p>
            <w:pPr>
              <w:jc w:val="center"/>
            </w:pPr>
            <w:r/>
            <w:r>
              <w:rPr>
                <w:rFonts w:ascii="Times New Roman" w:hAnsi="Times New Roman" w:eastAsia="Times New Roman"/>
                <w:b/>
                <w:i w:val="0"/>
                <w:color w:val="FFFFFF"/>
                <w:sz w:val="18"/>
              </w:rPr>
              <w:t>Sonuç</w:t>
            </w:r>
          </w:p>
        </w:tc>
        <w:tc>
          <w:tcPr>
            <w:tcW w:type="dxa" w:w="3230"/>
            <w:shd w:fill="1F4E79" w:val="clear"/>
          </w:tcPr>
          <w:p>
            <w:pPr>
              <w:jc w:val="center"/>
            </w:pPr>
            <w:r/>
            <w:r>
              <w:rPr>
                <w:rFonts w:ascii="Times New Roman" w:hAnsi="Times New Roman" w:eastAsia="Times New Roman"/>
                <w:b/>
                <w:i w:val="0"/>
                <w:color w:val="FFFFFF"/>
                <w:sz w:val="18"/>
              </w:rPr>
              <w:t>Kısa Kanıt</w:t>
            </w:r>
          </w:p>
        </w:tc>
      </w:tr>
      <w:tr>
        <w:tc>
          <w:tcPr>
            <w:tcW w:type="dxa" w:w="3230"/>
          </w:tcPr>
          <w:p>
            <w:r/>
            <w:r>
              <w:rPr>
                <w:rFonts w:ascii="Times New Roman" w:hAnsi="Times New Roman" w:eastAsia="Times New Roman"/>
                <w:b w:val="0"/>
                <w:i w:val="0"/>
                <w:sz w:val="18"/>
              </w:rPr>
              <w:t>H1</w:t>
            </w:r>
          </w:p>
        </w:tc>
        <w:tc>
          <w:tcPr>
            <w:tcW w:type="dxa" w:w="3230"/>
          </w:tcPr>
          <w:p>
            <w:r/>
            <w:r>
              <w:rPr>
                <w:rFonts w:ascii="Times New Roman" w:hAnsi="Times New Roman" w:eastAsia="Times New Roman"/>
                <w:b w:val="0"/>
                <w:i w:val="0"/>
                <w:sz w:val="18"/>
              </w:rPr>
              <w:t>DESTEKLENDİ</w:t>
            </w:r>
          </w:p>
        </w:tc>
        <w:tc>
          <w:tcPr>
            <w:tcW w:type="dxa" w:w="3230"/>
          </w:tcPr>
          <w:p>
            <w:r/>
            <w:r>
              <w:rPr>
                <w:rFonts w:ascii="Times New Roman" w:hAnsi="Times New Roman" w:eastAsia="Times New Roman"/>
                <w:b w:val="0"/>
                <w:i w:val="0"/>
                <w:sz w:val="18"/>
              </w:rPr>
              <w:t>Optimal k farklı: VB=6, İB=4, KT=8</w:t>
            </w:r>
          </w:p>
        </w:tc>
      </w:tr>
      <w:tr>
        <w:tc>
          <w:tcPr>
            <w:tcW w:type="dxa" w:w="3230"/>
          </w:tcPr>
          <w:p>
            <w:r/>
            <w:r>
              <w:rPr>
                <w:rFonts w:ascii="Times New Roman" w:hAnsi="Times New Roman" w:eastAsia="Times New Roman"/>
                <w:b w:val="0"/>
                <w:i w:val="0"/>
                <w:sz w:val="18"/>
              </w:rPr>
              <w:t>H2</w:t>
            </w:r>
          </w:p>
        </w:tc>
        <w:tc>
          <w:tcPr>
            <w:tcW w:type="dxa" w:w="3230"/>
          </w:tcPr>
          <w:p>
            <w:r/>
            <w:r>
              <w:rPr>
                <w:rFonts w:ascii="Times New Roman" w:hAnsi="Times New Roman" w:eastAsia="Times New Roman"/>
                <w:b w:val="0"/>
                <w:i w:val="0"/>
                <w:sz w:val="18"/>
              </w:rPr>
              <w:t>DESTEKLENDİ</w:t>
            </w:r>
          </w:p>
        </w:tc>
        <w:tc>
          <w:tcPr>
            <w:tcW w:type="dxa" w:w="3230"/>
          </w:tcPr>
          <w:p>
            <w:r/>
            <w:r>
              <w:rPr>
                <w:rFonts w:ascii="Times New Roman" w:hAnsi="Times New Roman" w:eastAsia="Times New Roman"/>
                <w:b w:val="0"/>
                <w:i w:val="0"/>
                <w:sz w:val="18"/>
              </w:rPr>
              <w:t>Mann–Whitney p&lt;0.001; çözülen medyan memnuniyet daha yüksek</w:t>
            </w:r>
          </w:p>
        </w:tc>
      </w:tr>
      <w:tr>
        <w:tc>
          <w:tcPr>
            <w:tcW w:type="dxa" w:w="3230"/>
          </w:tcPr>
          <w:p>
            <w:r/>
            <w:r>
              <w:rPr>
                <w:rFonts w:ascii="Times New Roman" w:hAnsi="Times New Roman" w:eastAsia="Times New Roman"/>
                <w:b w:val="0"/>
                <w:i w:val="0"/>
                <w:sz w:val="18"/>
              </w:rPr>
              <w:t>H3</w:t>
            </w:r>
          </w:p>
        </w:tc>
        <w:tc>
          <w:tcPr>
            <w:tcW w:type="dxa" w:w="3230"/>
          </w:tcPr>
          <w:p>
            <w:r/>
            <w:r>
              <w:rPr>
                <w:rFonts w:ascii="Times New Roman" w:hAnsi="Times New Roman" w:eastAsia="Times New Roman"/>
                <w:b w:val="0"/>
                <w:i w:val="0"/>
                <w:sz w:val="18"/>
              </w:rPr>
              <w:t>KISMEN</w:t>
            </w:r>
          </w:p>
        </w:tc>
        <w:tc>
          <w:tcPr>
            <w:tcW w:type="dxa" w:w="3230"/>
          </w:tcPr>
          <w:p>
            <w:r/>
            <w:r>
              <w:rPr>
                <w:rFonts w:ascii="Times New Roman" w:hAnsi="Times New Roman" w:eastAsia="Times New Roman"/>
                <w:b w:val="0"/>
                <w:i w:val="0"/>
                <w:sz w:val="18"/>
              </w:rPr>
              <w:t>9 modelden bir kısmı ≥%70 accuracy eşiğini aşıyor</w:t>
            </w:r>
          </w:p>
        </w:tc>
      </w:tr>
      <w:tr>
        <w:tc>
          <w:tcPr>
            <w:tcW w:type="dxa" w:w="3230"/>
          </w:tcPr>
          <w:p>
            <w:r/>
            <w:r>
              <w:rPr>
                <w:rFonts w:ascii="Times New Roman" w:hAnsi="Times New Roman" w:eastAsia="Times New Roman"/>
                <w:b w:val="0"/>
                <w:i w:val="0"/>
                <w:sz w:val="18"/>
              </w:rPr>
              <w:t>H4</w:t>
            </w:r>
          </w:p>
        </w:tc>
        <w:tc>
          <w:tcPr>
            <w:tcW w:type="dxa" w:w="3230"/>
          </w:tcPr>
          <w:p>
            <w:r/>
            <w:r>
              <w:rPr>
                <w:rFonts w:ascii="Times New Roman" w:hAnsi="Times New Roman" w:eastAsia="Times New Roman"/>
                <w:b w:val="0"/>
                <w:i w:val="0"/>
                <w:sz w:val="18"/>
              </w:rPr>
              <w:t>KISMEN</w:t>
            </w:r>
          </w:p>
        </w:tc>
        <w:tc>
          <w:tcPr>
            <w:tcW w:type="dxa" w:w="3230"/>
          </w:tcPr>
          <w:p>
            <w:r/>
            <w:r>
              <w:rPr>
                <w:rFonts w:ascii="Times New Roman" w:hAnsi="Times New Roman" w:eastAsia="Times New Roman"/>
                <w:b w:val="0"/>
                <w:i w:val="0"/>
                <w:sz w:val="18"/>
              </w:rPr>
              <w:t>İşBankası ve Kuveyt Türk’te anlamlı trend; VakıfBank’ta anlamsız</w:t>
            </w:r>
          </w:p>
        </w:tc>
      </w:tr>
      <w:tr>
        <w:tc>
          <w:tcPr>
            <w:tcW w:type="dxa" w:w="3230"/>
          </w:tcPr>
          <w:p>
            <w:r/>
            <w:r>
              <w:rPr>
                <w:rFonts w:ascii="Times New Roman" w:hAnsi="Times New Roman" w:eastAsia="Times New Roman"/>
                <w:b w:val="0"/>
                <w:i w:val="0"/>
                <w:sz w:val="18"/>
              </w:rPr>
              <w:t>H5</w:t>
            </w:r>
          </w:p>
        </w:tc>
        <w:tc>
          <w:tcPr>
            <w:tcW w:type="dxa" w:w="3230"/>
          </w:tcPr>
          <w:p>
            <w:r/>
            <w:r>
              <w:rPr>
                <w:rFonts w:ascii="Times New Roman" w:hAnsi="Times New Roman" w:eastAsia="Times New Roman"/>
                <w:b w:val="0"/>
                <w:i w:val="0"/>
                <w:sz w:val="18"/>
              </w:rPr>
              <w:t>DESTEKLENDİ</w:t>
            </w:r>
          </w:p>
        </w:tc>
        <w:tc>
          <w:tcPr>
            <w:tcW w:type="dxa" w:w="3230"/>
          </w:tcPr>
          <w:p>
            <w:r/>
            <w:r>
              <w:rPr>
                <w:rFonts w:ascii="Times New Roman" w:hAnsi="Times New Roman" w:eastAsia="Times New Roman"/>
                <w:b w:val="0"/>
                <w:i w:val="0"/>
                <w:sz w:val="18"/>
              </w:rPr>
              <w:t>Spearman ρ≈0,53–0,56; p&lt;0.001 tüm bankalarda</w:t>
            </w:r>
          </w:p>
        </w:tc>
      </w:tr>
    </w:tbl>
    <w:p>
      <w:pPr>
        <w:spacing w:before="120" w:after="120"/>
      </w:pPr>
      <w:r>
        <w:rPr>
          <w:rFonts w:ascii="Times New Roman" w:hAnsi="Times New Roman" w:eastAsia="Times New Roman"/>
          <w:b/>
          <w:i w:val="0"/>
          <w:sz w:val="22"/>
        </w:rPr>
        <w:t>A.4. Teknoloji Yığını</w:t>
      </w:r>
    </w:p>
    <w:p>
      <w:pPr>
        <w:spacing w:line="276" w:lineRule="auto" w:after="120"/>
        <w:jc w:val="both"/>
      </w:pPr>
      <w:r>
        <w:rPr>
          <w:rFonts w:ascii="Times New Roman" w:hAnsi="Times New Roman" w:eastAsia="Times New Roman"/>
          <w:b w:val="0"/>
          <w:i w:val="0"/>
          <w:sz w:val="22"/>
        </w:rPr>
        <w:t>Python; pandas, numpy, scikit-learn, scipy; gensim, pyLDAvis; snowballstemmer, NLTK; matplotlib, seaborn, wordcloud, plotly; joblib; (opsiyonel ileri aşama) transformers/BERTurk, torch.</w:t>
      </w:r>
    </w:p>
    <w:p>
      <w:pPr>
        <w:spacing w:before="320" w:after="120"/>
      </w:pPr>
      <w:r>
        <w:rPr>
          <w:rFonts w:ascii="Times New Roman" w:hAnsi="Times New Roman" w:eastAsia="Times New Roman"/>
          <w:b/>
          <w:i w:val="0"/>
          <w:sz w:val="24"/>
        </w:rPr>
        <w:t>10. ONAY / CONFIRMATION</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fill="1F4E79" w:val="clear"/>
          </w:tcPr>
          <w:p>
            <w:pPr>
              <w:jc w:val="center"/>
            </w:pPr>
            <w:r/>
            <w:r>
              <w:rPr>
                <w:rFonts w:ascii="Times New Roman" w:hAnsi="Times New Roman" w:eastAsia="Times New Roman"/>
                <w:b/>
                <w:i w:val="0"/>
                <w:color w:val="FFFFFF"/>
                <w:sz w:val="20"/>
              </w:rPr>
            </w:r>
          </w:p>
        </w:tc>
        <w:tc>
          <w:tcPr>
            <w:tcW w:type="dxa" w:w="2422"/>
            <w:shd w:fill="1F4E79" w:val="clear"/>
          </w:tcPr>
          <w:p>
            <w:pPr>
              <w:jc w:val="center"/>
            </w:pPr>
            <w:r/>
            <w:r>
              <w:rPr>
                <w:rFonts w:ascii="Times New Roman" w:hAnsi="Times New Roman" w:eastAsia="Times New Roman"/>
                <w:b/>
                <w:i w:val="0"/>
                <w:color w:val="FFFFFF"/>
                <w:sz w:val="20"/>
              </w:rPr>
              <w:t>Unvan Ad SOYAD</w:t>
            </w:r>
          </w:p>
        </w:tc>
        <w:tc>
          <w:tcPr>
            <w:tcW w:type="dxa" w:w="2422"/>
            <w:shd w:fill="1F4E79" w:val="clear"/>
          </w:tcPr>
          <w:p>
            <w:pPr>
              <w:jc w:val="center"/>
            </w:pPr>
            <w:r/>
            <w:r>
              <w:rPr>
                <w:rFonts w:ascii="Times New Roman" w:hAnsi="Times New Roman" w:eastAsia="Times New Roman"/>
                <w:b/>
                <w:i w:val="0"/>
                <w:color w:val="FFFFFF"/>
                <w:sz w:val="20"/>
              </w:rPr>
              <w:t>Tarih</w:t>
            </w:r>
          </w:p>
        </w:tc>
        <w:tc>
          <w:tcPr>
            <w:tcW w:type="dxa" w:w="2422"/>
            <w:shd w:fill="1F4E79" w:val="clear"/>
          </w:tcPr>
          <w:p>
            <w:pPr>
              <w:jc w:val="center"/>
            </w:pPr>
            <w:r/>
            <w:r>
              <w:rPr>
                <w:rFonts w:ascii="Times New Roman" w:hAnsi="Times New Roman" w:eastAsia="Times New Roman"/>
                <w:b/>
                <w:i w:val="0"/>
                <w:color w:val="FFFFFF"/>
                <w:sz w:val="20"/>
              </w:rPr>
              <w:t>İmza</w:t>
            </w:r>
          </w:p>
        </w:tc>
      </w:tr>
      <w:tr>
        <w:tc>
          <w:tcPr>
            <w:tcW w:type="dxa" w:w="2422"/>
          </w:tcPr>
          <w:p>
            <w:r/>
            <w:r>
              <w:rPr>
                <w:rFonts w:ascii="Times New Roman" w:hAnsi="Times New Roman" w:eastAsia="Times New Roman"/>
                <w:b/>
                <w:i w:val="0"/>
                <w:sz w:val="18"/>
              </w:rPr>
              <w:t>Danışman / Supervisor</w:t>
            </w:r>
          </w:p>
        </w:tc>
        <w:tc>
          <w:tcPr>
            <w:tcW w:type="dxa" w:w="2422"/>
          </w:tcPr>
          <w:p>
            <w:r/>
            <w:r>
              <w:rPr>
                <w:rFonts w:ascii="Times New Roman" w:hAnsi="Times New Roman" w:eastAsia="Times New Roman"/>
                <w:b w:val="0"/>
                <w:i w:val="0"/>
                <w:sz w:val="18"/>
              </w:rPr>
            </w:r>
          </w:p>
        </w:tc>
        <w:tc>
          <w:tcPr>
            <w:tcW w:type="dxa" w:w="2422"/>
          </w:tcPr>
          <w:p>
            <w:r/>
            <w:r>
              <w:rPr>
                <w:rFonts w:ascii="Times New Roman" w:hAnsi="Times New Roman" w:eastAsia="Times New Roman"/>
                <w:b w:val="0"/>
                <w:i w:val="0"/>
                <w:sz w:val="18"/>
              </w:rPr>
            </w:r>
          </w:p>
        </w:tc>
        <w:tc>
          <w:tcPr>
            <w:tcW w:type="dxa" w:w="2422"/>
          </w:tcPr>
          <w:p>
            <w:r/>
            <w:r>
              <w:rPr>
                <w:rFonts w:ascii="Times New Roman" w:hAnsi="Times New Roman" w:eastAsia="Times New Roman"/>
                <w:b w:val="0"/>
                <w:i w:val="0"/>
                <w:sz w:val="18"/>
              </w:rPr>
            </w:r>
          </w:p>
        </w:tc>
      </w:tr>
      <w:tr>
        <w:tc>
          <w:tcPr>
            <w:tcW w:type="dxa" w:w="2422"/>
          </w:tcPr>
          <w:p>
            <w:r/>
            <w:r>
              <w:rPr>
                <w:rFonts w:ascii="Times New Roman" w:hAnsi="Times New Roman" w:eastAsia="Times New Roman"/>
                <w:b/>
                <w:i w:val="0"/>
                <w:sz w:val="18"/>
              </w:rPr>
              <w:t>İkinci Tez Danışmanı / Co-Supervisor</w:t>
            </w:r>
          </w:p>
        </w:tc>
        <w:tc>
          <w:tcPr>
            <w:tcW w:type="dxa" w:w="2422"/>
          </w:tcPr>
          <w:p>
            <w:r/>
            <w:r>
              <w:rPr>
                <w:rFonts w:ascii="Times New Roman" w:hAnsi="Times New Roman" w:eastAsia="Times New Roman"/>
                <w:b w:val="0"/>
                <w:i w:val="0"/>
                <w:sz w:val="18"/>
              </w:rPr>
            </w:r>
          </w:p>
        </w:tc>
        <w:tc>
          <w:tcPr>
            <w:tcW w:type="dxa" w:w="2422"/>
          </w:tcPr>
          <w:p>
            <w:r/>
            <w:r>
              <w:rPr>
                <w:rFonts w:ascii="Times New Roman" w:hAnsi="Times New Roman" w:eastAsia="Times New Roman"/>
                <w:b w:val="0"/>
                <w:i w:val="0"/>
                <w:sz w:val="18"/>
              </w:rPr>
            </w:r>
          </w:p>
        </w:tc>
        <w:tc>
          <w:tcPr>
            <w:tcW w:type="dxa" w:w="2422"/>
          </w:tcPr>
          <w:p>
            <w:r/>
            <w:r>
              <w:rPr>
                <w:rFonts w:ascii="Times New Roman" w:hAnsi="Times New Roman" w:eastAsia="Times New Roman"/>
                <w:b w:val="0"/>
                <w:i w:val="0"/>
                <w:sz w:val="18"/>
              </w:rPr>
            </w:r>
          </w:p>
        </w:tc>
      </w:tr>
      <w:tr>
        <w:tc>
          <w:tcPr>
            <w:tcW w:type="dxa" w:w="2422"/>
          </w:tcPr>
          <w:p>
            <w:r/>
            <w:r>
              <w:rPr>
                <w:rFonts w:ascii="Times New Roman" w:hAnsi="Times New Roman" w:eastAsia="Times New Roman"/>
                <w:b/>
                <w:i w:val="0"/>
                <w:sz w:val="18"/>
              </w:rPr>
              <w:t>Öğrenci / Student</w:t>
            </w:r>
          </w:p>
        </w:tc>
        <w:tc>
          <w:tcPr>
            <w:tcW w:type="dxa" w:w="2422"/>
          </w:tcPr>
          <w:p>
            <w:r/>
            <w:r>
              <w:rPr>
                <w:rFonts w:ascii="Times New Roman" w:hAnsi="Times New Roman" w:eastAsia="Times New Roman"/>
                <w:b w:val="0"/>
                <w:i w:val="0"/>
                <w:sz w:val="18"/>
              </w:rPr>
            </w:r>
          </w:p>
        </w:tc>
        <w:tc>
          <w:tcPr>
            <w:tcW w:type="dxa" w:w="2422"/>
          </w:tcPr>
          <w:p>
            <w:r/>
            <w:r>
              <w:rPr>
                <w:rFonts w:ascii="Times New Roman" w:hAnsi="Times New Roman" w:eastAsia="Times New Roman"/>
                <w:b w:val="0"/>
                <w:i w:val="0"/>
                <w:sz w:val="18"/>
              </w:rPr>
            </w:r>
          </w:p>
        </w:tc>
        <w:tc>
          <w:tcPr>
            <w:tcW w:type="dxa" w:w="2422"/>
          </w:tcPr>
          <w:p>
            <w:r/>
            <w:r>
              <w:rPr>
                <w:rFonts w:ascii="Times New Roman" w:hAnsi="Times New Roman" w:eastAsia="Times New Roman"/>
                <w:b w:val="0"/>
                <w:i w:val="0"/>
                <w:sz w:val="18"/>
              </w:rPr>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