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68E4" w14:textId="56762F81" w:rsidR="00697D71" w:rsidRDefault="0091123A">
      <w:r>
        <w:tab/>
        <w:t xml:space="preserve">When recommending stocks, one thing has to be made clear </w:t>
      </w:r>
      <w:proofErr w:type="gramStart"/>
      <w:r>
        <w:t>from the get go</w:t>
      </w:r>
      <w:proofErr w:type="gramEnd"/>
      <w:r>
        <w:t xml:space="preserve">, no one knows the future, the future is uncertain and is always subject to change. However, as </w:t>
      </w:r>
      <w:r w:rsidRPr="0091123A">
        <w:t>Spanish philosopher George Santayan</w:t>
      </w:r>
      <w:r>
        <w:t xml:space="preserve">a once </w:t>
      </w:r>
      <w:proofErr w:type="gramStart"/>
      <w:r w:rsidR="00F73EEF">
        <w:t>said</w:t>
      </w:r>
      <w:proofErr w:type="gramEnd"/>
      <w:r>
        <w:t xml:space="preserve"> </w:t>
      </w:r>
      <w:r w:rsidRPr="0091123A">
        <w:t>“Those who don’t know history are destined to repeat it.” Lessons from the past</w:t>
      </w:r>
      <w:r>
        <w:t xml:space="preserve"> </w:t>
      </w:r>
      <w:r w:rsidRPr="0091123A">
        <w:t>can provide insights into the present and even the future</w:t>
      </w:r>
      <w:r>
        <w:t xml:space="preserve">. This also applies to stocks. </w:t>
      </w:r>
    </w:p>
    <w:p w14:paraId="0F095A35" w14:textId="097BB5D4" w:rsidR="00F73EEF" w:rsidRDefault="00F73EEF">
      <w:r>
        <w:tab/>
      </w:r>
      <w:r>
        <w:rPr>
          <w:noProof/>
        </w:rPr>
        <w:drawing>
          <wp:inline distT="0" distB="0" distL="0" distR="0" wp14:anchorId="3F58A714" wp14:editId="704E5E11">
            <wp:extent cx="5943600" cy="3484245"/>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3484245"/>
                    </a:xfrm>
                    <a:prstGeom prst="rect">
                      <a:avLst/>
                    </a:prstGeom>
                  </pic:spPr>
                </pic:pic>
              </a:graphicData>
            </a:graphic>
          </wp:inline>
        </w:drawing>
      </w:r>
    </w:p>
    <w:p w14:paraId="69FB3F09" w14:textId="21DB60C0" w:rsidR="00F73EEF" w:rsidRDefault="00F73EEF"/>
    <w:p w14:paraId="16AA20BA" w14:textId="423DAE0D" w:rsidR="00F73EEF" w:rsidRDefault="00F73EEF">
      <w:r>
        <w:rPr>
          <w:noProof/>
        </w:rPr>
        <w:lastRenderedPageBreak/>
        <w:drawing>
          <wp:inline distT="0" distB="0" distL="0" distR="0" wp14:anchorId="1C4E1BD0" wp14:editId="6AF48921">
            <wp:extent cx="5943600" cy="43707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5943600" cy="4370705"/>
                    </a:xfrm>
                    <a:prstGeom prst="rect">
                      <a:avLst/>
                    </a:prstGeom>
                  </pic:spPr>
                </pic:pic>
              </a:graphicData>
            </a:graphic>
          </wp:inline>
        </w:drawing>
      </w:r>
    </w:p>
    <w:p w14:paraId="534AF453" w14:textId="781B6B0E" w:rsidR="00F73EEF" w:rsidRDefault="00F73EEF">
      <w:r>
        <w:rPr>
          <w:noProof/>
        </w:rPr>
        <w:lastRenderedPageBreak/>
        <w:drawing>
          <wp:inline distT="0" distB="0" distL="0" distR="0" wp14:anchorId="31C94937" wp14:editId="41DEF7F6">
            <wp:extent cx="5943600" cy="4203700"/>
            <wp:effectExtent l="0" t="0" r="0" b="635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6"/>
                    <a:stretch>
                      <a:fillRect/>
                    </a:stretch>
                  </pic:blipFill>
                  <pic:spPr>
                    <a:xfrm>
                      <a:off x="0" y="0"/>
                      <a:ext cx="5943600" cy="4203700"/>
                    </a:xfrm>
                    <a:prstGeom prst="rect">
                      <a:avLst/>
                    </a:prstGeom>
                  </pic:spPr>
                </pic:pic>
              </a:graphicData>
            </a:graphic>
          </wp:inline>
        </w:drawing>
      </w:r>
    </w:p>
    <w:p w14:paraId="4EE6F8F6" w14:textId="52B25B6F" w:rsidR="00F73EEF" w:rsidRDefault="00F73EEF"/>
    <w:p w14:paraId="4AAFF3C1" w14:textId="5524B15B" w:rsidR="00827A7A" w:rsidRDefault="00F73EEF" w:rsidP="00827A7A">
      <w:r>
        <w:t xml:space="preserve">Based on </w:t>
      </w:r>
      <w:proofErr w:type="gramStart"/>
      <w:r>
        <w:t>the what</w:t>
      </w:r>
      <w:proofErr w:type="gramEnd"/>
      <w:r>
        <w:t xml:space="preserve"> was shown, I would have recommended to the imaginary client to invest </w:t>
      </w:r>
      <w:r w:rsidR="00750F3E">
        <w:t>coming into 2017:</w:t>
      </w:r>
    </w:p>
    <w:p w14:paraId="17C4801F" w14:textId="6E4FCA10" w:rsidR="00B53CB1" w:rsidRDefault="00F73EEF" w:rsidP="00B53CB1">
      <w:pPr>
        <w:ind w:firstLine="720"/>
        <w:rPr>
          <w:rFonts w:ascii="Calibri" w:eastAsia="Times New Roman" w:hAnsi="Calibri" w:cs="Calibri"/>
          <w:color w:val="000000"/>
          <w:sz w:val="24"/>
          <w:szCs w:val="24"/>
        </w:rPr>
      </w:pPr>
      <w:r w:rsidRPr="00B53CB1">
        <w:rPr>
          <w:rFonts w:ascii="Calibri" w:eastAsia="Times New Roman" w:hAnsi="Calibri" w:cs="Calibri"/>
          <w:color w:val="000000"/>
          <w:sz w:val="24"/>
          <w:szCs w:val="24"/>
        </w:rPr>
        <w:t>BRK.A</w:t>
      </w:r>
      <w:r w:rsidR="00827A7A" w:rsidRPr="00B53CB1">
        <w:rPr>
          <w:rFonts w:ascii="Calibri" w:eastAsia="Times New Roman" w:hAnsi="Calibri" w:cs="Calibri"/>
          <w:color w:val="000000"/>
          <w:sz w:val="24"/>
          <w:szCs w:val="24"/>
        </w:rPr>
        <w:t>, (2014:</w:t>
      </w:r>
      <w:r w:rsidR="00827A7A" w:rsidRPr="00B53CB1">
        <w:t xml:space="preserve"> </w:t>
      </w:r>
      <w:r w:rsidR="00B53CB1" w:rsidRPr="00B53CB1">
        <w:t>Yearly Change</w:t>
      </w:r>
      <w:r w:rsidR="00B53CB1" w:rsidRPr="00B53CB1">
        <w:t xml:space="preserve">: </w:t>
      </w:r>
      <w:r w:rsidR="00827A7A" w:rsidRPr="00B53CB1">
        <w:rPr>
          <w:rFonts w:ascii="Calibri" w:eastAsia="Times New Roman" w:hAnsi="Calibri" w:cs="Calibri"/>
          <w:color w:val="000000"/>
          <w:sz w:val="24"/>
          <w:szCs w:val="24"/>
        </w:rPr>
        <w:t>48100</w:t>
      </w:r>
      <w:r w:rsidR="00B53CB1">
        <w:rPr>
          <w:rFonts w:ascii="Calibri" w:eastAsia="Times New Roman" w:hAnsi="Calibri" w:cs="Calibri"/>
          <w:color w:val="000000"/>
          <w:sz w:val="24"/>
          <w:szCs w:val="24"/>
        </w:rPr>
        <w:t xml:space="preserve"> </w:t>
      </w:r>
      <w:r w:rsidR="00B53CB1" w:rsidRPr="00B53CB1">
        <w:rPr>
          <w:rFonts w:ascii="Calibri" w:eastAsia="Times New Roman" w:hAnsi="Calibri" w:cs="Calibri"/>
          <w:color w:val="000000"/>
          <w:sz w:val="24"/>
          <w:szCs w:val="24"/>
        </w:rPr>
        <w:t>Percentage Change</w:t>
      </w:r>
      <w:r w:rsidR="00B53CB1">
        <w:rPr>
          <w:rFonts w:ascii="Calibri" w:eastAsia="Times New Roman" w:hAnsi="Calibri" w:cs="Calibri"/>
          <w:color w:val="000000"/>
          <w:sz w:val="24"/>
          <w:szCs w:val="24"/>
        </w:rPr>
        <w:t xml:space="preserve">: </w:t>
      </w:r>
      <w:r w:rsidR="00827A7A" w:rsidRPr="00B53CB1">
        <w:rPr>
          <w:rFonts w:ascii="Calibri" w:eastAsia="Times New Roman" w:hAnsi="Calibri" w:cs="Calibri"/>
          <w:color w:val="000000"/>
          <w:sz w:val="24"/>
          <w:szCs w:val="24"/>
        </w:rPr>
        <w:t>27.04%</w:t>
      </w:r>
      <w:r w:rsidR="00827A7A" w:rsidRPr="00B53CB1">
        <w:rPr>
          <w:rFonts w:ascii="Calibri" w:eastAsia="Times New Roman" w:hAnsi="Calibri" w:cs="Calibri"/>
          <w:color w:val="000000"/>
          <w:sz w:val="24"/>
          <w:szCs w:val="24"/>
        </w:rPr>
        <w:t>,</w:t>
      </w:r>
      <w:r w:rsidR="00B53CB1" w:rsidRPr="00B53CB1">
        <w:rPr>
          <w:rFonts w:ascii="Calibri" w:eastAsia="Times New Roman" w:hAnsi="Calibri" w:cs="Calibri"/>
          <w:color w:val="000000"/>
          <w:sz w:val="24"/>
          <w:szCs w:val="24"/>
        </w:rPr>
        <w:t xml:space="preserve"> </w:t>
      </w:r>
      <w:r w:rsidR="00827A7A" w:rsidRPr="00B53CB1">
        <w:rPr>
          <w:rFonts w:ascii="Calibri" w:eastAsia="Times New Roman" w:hAnsi="Calibri" w:cs="Calibri"/>
          <w:color w:val="000000"/>
          <w:sz w:val="24"/>
          <w:szCs w:val="24"/>
        </w:rPr>
        <w:t xml:space="preserve"> </w:t>
      </w:r>
    </w:p>
    <w:p w14:paraId="41288B05" w14:textId="0E6C6C92" w:rsidR="00B53CB1" w:rsidRPr="00B53CB1" w:rsidRDefault="00827A7A" w:rsidP="00B53CB1">
      <w:pPr>
        <w:ind w:left="720" w:firstLine="720"/>
        <w:rPr>
          <w:rFonts w:ascii="Calibri" w:eastAsia="Times New Roman" w:hAnsi="Calibri" w:cs="Calibri"/>
          <w:color w:val="000000"/>
          <w:sz w:val="24"/>
          <w:szCs w:val="24"/>
        </w:rPr>
      </w:pPr>
      <w:r w:rsidRPr="00B53CB1">
        <w:rPr>
          <w:rFonts w:ascii="Calibri" w:eastAsia="Times New Roman" w:hAnsi="Calibri" w:cs="Calibri"/>
          <w:color w:val="000000"/>
          <w:sz w:val="24"/>
          <w:szCs w:val="24"/>
        </w:rPr>
        <w:t xml:space="preserve">2015: </w:t>
      </w:r>
      <w:r w:rsidR="00B53CB1" w:rsidRPr="00B53CB1">
        <w:rPr>
          <w:rFonts w:ascii="Calibri" w:eastAsia="Times New Roman" w:hAnsi="Calibri" w:cs="Calibri"/>
          <w:color w:val="000000"/>
          <w:sz w:val="24"/>
          <w:szCs w:val="24"/>
        </w:rPr>
        <w:t xml:space="preserve"> </w:t>
      </w:r>
      <w:r w:rsidR="00B53CB1" w:rsidRPr="00B53CB1">
        <w:t xml:space="preserve">Yearly </w:t>
      </w:r>
      <w:proofErr w:type="gramStart"/>
      <w:r w:rsidR="00B53CB1" w:rsidRPr="00B53CB1">
        <w:t>Change</w:t>
      </w:r>
      <w:r w:rsidR="00B53CB1" w:rsidRPr="00B53CB1">
        <w:rPr>
          <w:rFonts w:ascii="Calibri" w:eastAsia="Times New Roman" w:hAnsi="Calibri" w:cs="Calibri"/>
          <w:color w:val="000000"/>
          <w:sz w:val="24"/>
          <w:szCs w:val="24"/>
        </w:rPr>
        <w:t xml:space="preserve"> :</w:t>
      </w:r>
      <w:proofErr w:type="gramEnd"/>
      <w:r w:rsidRPr="00B53CB1">
        <w:rPr>
          <w:rFonts w:ascii="Calibri" w:eastAsia="Times New Roman" w:hAnsi="Calibri" w:cs="Calibri"/>
          <w:color w:val="000000"/>
          <w:sz w:val="24"/>
          <w:szCs w:val="24"/>
        </w:rPr>
        <w:t>-</w:t>
      </w:r>
      <w:r w:rsidRPr="00B53CB1">
        <w:rPr>
          <w:rFonts w:ascii="Calibri" w:eastAsia="Times New Roman" w:hAnsi="Calibri" w:cs="Calibri"/>
          <w:color w:val="000000"/>
          <w:sz w:val="24"/>
          <w:szCs w:val="24"/>
        </w:rPr>
        <w:t>28200</w:t>
      </w:r>
      <w:r w:rsidR="00B53CB1" w:rsidRPr="00B53CB1">
        <w:rPr>
          <w:rFonts w:ascii="Calibri" w:eastAsia="Times New Roman" w:hAnsi="Calibri" w:cs="Calibri"/>
          <w:color w:val="000000"/>
          <w:sz w:val="24"/>
          <w:szCs w:val="24"/>
        </w:rPr>
        <w:t xml:space="preserve"> </w:t>
      </w:r>
      <w:r w:rsidR="00B53CB1" w:rsidRPr="00B53CB1">
        <w:rPr>
          <w:rFonts w:ascii="Calibri" w:eastAsia="Times New Roman" w:hAnsi="Calibri" w:cs="Calibri"/>
          <w:color w:val="000000"/>
          <w:sz w:val="24"/>
          <w:szCs w:val="24"/>
        </w:rPr>
        <w:t>Percentage Change</w:t>
      </w:r>
      <w:r w:rsidR="00B53CB1">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-12.48%</w:t>
      </w:r>
      <w:r w:rsidRPr="00B53CB1">
        <w:rPr>
          <w:rFonts w:ascii="Calibri" w:eastAsia="Times New Roman" w:hAnsi="Calibri" w:cs="Calibri"/>
          <w:color w:val="000000"/>
          <w:sz w:val="24"/>
          <w:szCs w:val="24"/>
        </w:rPr>
        <w:t xml:space="preserve">, </w:t>
      </w:r>
    </w:p>
    <w:p w14:paraId="770E17C0" w14:textId="2F39DFD3" w:rsidR="00827A7A" w:rsidRPr="00B53CB1" w:rsidRDefault="00827A7A" w:rsidP="00B53CB1">
      <w:pPr>
        <w:ind w:left="1440"/>
        <w:rPr>
          <w:rFonts w:ascii="Calibri" w:eastAsia="Times New Roman" w:hAnsi="Calibri" w:cs="Calibri"/>
          <w:color w:val="000000"/>
          <w:sz w:val="24"/>
          <w:szCs w:val="24"/>
        </w:rPr>
      </w:pPr>
      <w:r w:rsidRPr="00B53CB1">
        <w:rPr>
          <w:rFonts w:ascii="Calibri" w:eastAsia="Times New Roman" w:hAnsi="Calibri" w:cs="Calibri"/>
          <w:color w:val="000000"/>
          <w:sz w:val="24"/>
          <w:szCs w:val="24"/>
        </w:rPr>
        <w:t>2016:</w:t>
      </w:r>
      <w:r w:rsidRPr="00B53CB1">
        <w:t xml:space="preserve">  </w:t>
      </w:r>
      <w:r w:rsidR="00B53CB1" w:rsidRPr="00B53CB1">
        <w:t xml:space="preserve">Yearly Change: </w:t>
      </w:r>
      <w:r w:rsidR="00B53CB1" w:rsidRPr="00B53CB1">
        <w:rPr>
          <w:rFonts w:ascii="Calibri" w:eastAsia="Times New Roman" w:hAnsi="Calibri" w:cs="Calibri"/>
          <w:color w:val="000000"/>
          <w:sz w:val="24"/>
          <w:szCs w:val="24"/>
        </w:rPr>
        <w:t>46321</w:t>
      </w:r>
      <w:r w:rsidR="00B53CB1">
        <w:t xml:space="preserve"> </w:t>
      </w:r>
      <w:r w:rsidR="00B53CB1" w:rsidRPr="00B53CB1">
        <w:rPr>
          <w:rFonts w:ascii="Calibri" w:eastAsia="Times New Roman" w:hAnsi="Calibri" w:cs="Calibri"/>
          <w:color w:val="000000"/>
          <w:sz w:val="24"/>
          <w:szCs w:val="24"/>
        </w:rPr>
        <w:t>Percentage Change</w:t>
      </w:r>
      <w:r w:rsidR="00B53CB1">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46321</w:t>
      </w:r>
      <w:r w:rsidRPr="00B53CB1">
        <w:rPr>
          <w:rFonts w:ascii="Calibri" w:eastAsia="Times New Roman" w:hAnsi="Calibri" w:cs="Calibri"/>
          <w:color w:val="000000"/>
          <w:sz w:val="24"/>
          <w:szCs w:val="24"/>
        </w:rPr>
        <w:t>_</w:t>
      </w:r>
      <w:r w:rsidRPr="00B53CB1">
        <w:rPr>
          <w:rFonts w:ascii="Calibri" w:eastAsia="Times New Roman" w:hAnsi="Calibri" w:cs="Calibri"/>
          <w:color w:val="000000"/>
          <w:sz w:val="24"/>
          <w:szCs w:val="24"/>
        </w:rPr>
        <w:t>23.42%</w:t>
      </w:r>
      <w:r w:rsidRPr="00B53CB1">
        <w:rPr>
          <w:rFonts w:ascii="Calibri" w:eastAsia="Times New Roman" w:hAnsi="Calibri" w:cs="Calibri"/>
          <w:color w:val="000000"/>
          <w:sz w:val="24"/>
          <w:szCs w:val="24"/>
        </w:rPr>
        <w:t>)</w:t>
      </w:r>
    </w:p>
    <w:p w14:paraId="3F18A406" w14:textId="3769182E" w:rsidR="00B53CB1" w:rsidRPr="00B53CB1" w:rsidRDefault="00827A7A" w:rsidP="00B53CB1">
      <w:pPr>
        <w:ind w:left="720"/>
        <w:rPr>
          <w:rFonts w:ascii="Calibri" w:eastAsia="Times New Roman" w:hAnsi="Calibri" w:cs="Calibri"/>
          <w:color w:val="000000"/>
          <w:sz w:val="24"/>
          <w:szCs w:val="24"/>
        </w:rPr>
      </w:pPr>
      <w:r w:rsidRPr="00B53CB1">
        <w:rPr>
          <w:rFonts w:ascii="Calibri" w:eastAsia="Times New Roman" w:hAnsi="Calibri" w:cs="Calibri"/>
          <w:color w:val="000000"/>
          <w:sz w:val="24"/>
          <w:szCs w:val="24"/>
        </w:rPr>
        <w:t xml:space="preserve">NVR </w:t>
      </w:r>
      <w:proofErr w:type="gramStart"/>
      <w:r w:rsidR="00B53CB1">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w:t>
      </w:r>
      <w:proofErr w:type="gramEnd"/>
      <w:r w:rsidRPr="00B53CB1">
        <w:rPr>
          <w:rFonts w:ascii="Calibri" w:eastAsia="Times New Roman" w:hAnsi="Calibri" w:cs="Calibri"/>
          <w:color w:val="000000"/>
          <w:sz w:val="24"/>
          <w:szCs w:val="24"/>
        </w:rPr>
        <w:t>2014:</w:t>
      </w:r>
      <w:r w:rsidR="00B53CB1" w:rsidRPr="00B53CB1">
        <w:rPr>
          <w:rFonts w:ascii="Calibri" w:eastAsia="Times New Roman" w:hAnsi="Calibri" w:cs="Calibri"/>
          <w:color w:val="000000"/>
          <w:sz w:val="24"/>
          <w:szCs w:val="24"/>
        </w:rPr>
        <w:t xml:space="preserve"> </w:t>
      </w:r>
      <w:r w:rsidR="00B53CB1" w:rsidRPr="00B53CB1">
        <w:t xml:space="preserve">Yearly Change: </w:t>
      </w:r>
      <w:r w:rsidRPr="00B53CB1">
        <w:t xml:space="preserve"> </w:t>
      </w:r>
      <w:r w:rsidRPr="00B53CB1">
        <w:rPr>
          <w:rFonts w:ascii="Calibri" w:eastAsia="Times New Roman" w:hAnsi="Calibri" w:cs="Calibri"/>
          <w:color w:val="000000"/>
          <w:sz w:val="24"/>
          <w:szCs w:val="24"/>
        </w:rPr>
        <w:t>249.32</w:t>
      </w:r>
      <w:r w:rsidR="00B53CB1">
        <w:rPr>
          <w:rFonts w:ascii="Calibri" w:eastAsia="Times New Roman" w:hAnsi="Calibri" w:cs="Calibri"/>
          <w:color w:val="000000"/>
          <w:sz w:val="24"/>
          <w:szCs w:val="24"/>
        </w:rPr>
        <w:t xml:space="preserve"> </w:t>
      </w:r>
      <w:r w:rsidR="00B53CB1" w:rsidRPr="00B53CB1">
        <w:rPr>
          <w:rFonts w:ascii="Calibri" w:eastAsia="Times New Roman" w:hAnsi="Calibri" w:cs="Calibri"/>
          <w:color w:val="000000"/>
          <w:sz w:val="24"/>
          <w:szCs w:val="24"/>
        </w:rPr>
        <w:t>Percentage Change</w:t>
      </w:r>
      <w:r w:rsidR="00B53CB1">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24.30%</w:t>
      </w:r>
      <w:r w:rsidRPr="00B53CB1">
        <w:rPr>
          <w:rFonts w:ascii="Calibri" w:eastAsia="Times New Roman" w:hAnsi="Calibri" w:cs="Calibri"/>
          <w:color w:val="000000"/>
          <w:sz w:val="24"/>
          <w:szCs w:val="24"/>
        </w:rPr>
        <w:t xml:space="preserve">, </w:t>
      </w:r>
    </w:p>
    <w:p w14:paraId="33F7AF25" w14:textId="142A9824" w:rsidR="00B53CB1" w:rsidRPr="00B53CB1" w:rsidRDefault="00827A7A" w:rsidP="00B53CB1">
      <w:pPr>
        <w:ind w:left="720" w:firstLine="720"/>
        <w:rPr>
          <w:rFonts w:ascii="Calibri" w:eastAsia="Times New Roman" w:hAnsi="Calibri" w:cs="Calibri"/>
          <w:color w:val="000000"/>
          <w:sz w:val="24"/>
          <w:szCs w:val="24"/>
        </w:rPr>
      </w:pPr>
      <w:r w:rsidRPr="00B53CB1">
        <w:rPr>
          <w:rFonts w:ascii="Calibri" w:eastAsia="Times New Roman" w:hAnsi="Calibri" w:cs="Calibri"/>
          <w:color w:val="000000"/>
          <w:sz w:val="24"/>
          <w:szCs w:val="24"/>
        </w:rPr>
        <w:t xml:space="preserve">2015: </w:t>
      </w:r>
      <w:r w:rsidR="00B53CB1" w:rsidRPr="00B53CB1">
        <w:t xml:space="preserve">Yearly Change: </w:t>
      </w:r>
      <w:r w:rsidR="00B53CB1">
        <w:t xml:space="preserve"> </w:t>
      </w:r>
      <w:r w:rsidR="00B53CB1" w:rsidRPr="00B53CB1">
        <w:rPr>
          <w:rFonts w:ascii="Calibri" w:eastAsia="Times New Roman" w:hAnsi="Calibri" w:cs="Calibri"/>
          <w:color w:val="000000"/>
          <w:sz w:val="24"/>
          <w:szCs w:val="24"/>
        </w:rPr>
        <w:t>Percentage Change</w:t>
      </w:r>
      <w:r w:rsidR="00B53CB1">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367.67</w:t>
      </w:r>
      <w:r w:rsidRPr="00B53CB1">
        <w:rPr>
          <w:rFonts w:ascii="Calibri" w:eastAsia="Times New Roman" w:hAnsi="Calibri" w:cs="Calibri"/>
          <w:color w:val="000000"/>
          <w:sz w:val="24"/>
          <w:szCs w:val="24"/>
        </w:rPr>
        <w:t>-</w:t>
      </w:r>
      <w:r w:rsidRPr="00B53CB1">
        <w:rPr>
          <w:rFonts w:ascii="Calibri" w:eastAsia="Times New Roman" w:hAnsi="Calibri" w:cs="Calibri"/>
          <w:color w:val="000000"/>
          <w:sz w:val="24"/>
          <w:szCs w:val="24"/>
        </w:rPr>
        <w:t>28.83%</w:t>
      </w:r>
      <w:r w:rsidRPr="00B53CB1">
        <w:rPr>
          <w:rFonts w:ascii="Calibri" w:eastAsia="Times New Roman" w:hAnsi="Calibri" w:cs="Calibri"/>
          <w:color w:val="000000"/>
          <w:sz w:val="24"/>
          <w:szCs w:val="24"/>
        </w:rPr>
        <w:t xml:space="preserve"> </w:t>
      </w:r>
    </w:p>
    <w:p w14:paraId="47A785CE" w14:textId="4F1A6F1F" w:rsidR="00827A7A" w:rsidRPr="00B53CB1" w:rsidRDefault="00827A7A" w:rsidP="00B53CB1">
      <w:pPr>
        <w:ind w:left="720" w:firstLine="720"/>
        <w:rPr>
          <w:rFonts w:ascii="Calibri" w:eastAsia="Times New Roman" w:hAnsi="Calibri" w:cs="Calibri"/>
          <w:color w:val="000000"/>
          <w:sz w:val="24"/>
          <w:szCs w:val="24"/>
        </w:rPr>
      </w:pPr>
      <w:r w:rsidRPr="00B53CB1">
        <w:rPr>
          <w:rFonts w:ascii="Calibri" w:eastAsia="Times New Roman" w:hAnsi="Calibri" w:cs="Calibri"/>
          <w:color w:val="000000"/>
          <w:sz w:val="24"/>
          <w:szCs w:val="24"/>
        </w:rPr>
        <w:t>2016:</w:t>
      </w:r>
      <w:r w:rsidR="00B53CB1" w:rsidRPr="00B53CB1">
        <w:t xml:space="preserve"> </w:t>
      </w:r>
      <w:r w:rsidR="00B53CB1" w:rsidRPr="00B53CB1">
        <w:t xml:space="preserve">Yearly Change: </w:t>
      </w:r>
      <w:r w:rsidRPr="00B53CB1">
        <w:t xml:space="preserve"> </w:t>
      </w:r>
      <w:r w:rsidRPr="00B53CB1">
        <w:rPr>
          <w:rFonts w:ascii="Calibri" w:eastAsia="Times New Roman" w:hAnsi="Calibri" w:cs="Calibri"/>
          <w:color w:val="000000"/>
          <w:sz w:val="24"/>
          <w:szCs w:val="24"/>
        </w:rPr>
        <w:t>26</w:t>
      </w:r>
      <w:r w:rsidR="00B53CB1" w:rsidRPr="00B53CB1">
        <w:rPr>
          <w:rFonts w:ascii="Calibri" w:eastAsia="Times New Roman" w:hAnsi="Calibri" w:cs="Calibri"/>
          <w:color w:val="000000"/>
          <w:sz w:val="24"/>
          <w:szCs w:val="24"/>
        </w:rPr>
        <w:t xml:space="preserve"> </w:t>
      </w:r>
      <w:r w:rsidR="00B53CB1" w:rsidRPr="00B53CB1">
        <w:rPr>
          <w:rFonts w:ascii="Calibri" w:eastAsia="Times New Roman" w:hAnsi="Calibri" w:cs="Calibri"/>
          <w:color w:val="000000"/>
          <w:sz w:val="24"/>
          <w:szCs w:val="24"/>
        </w:rPr>
        <w:t>Percentage Change</w:t>
      </w:r>
      <w:r w:rsidR="00B53CB1">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1.58%</w:t>
      </w:r>
      <w:r w:rsidRPr="00B53CB1">
        <w:rPr>
          <w:rFonts w:ascii="Calibri" w:eastAsia="Times New Roman" w:hAnsi="Calibri" w:cs="Calibri"/>
          <w:color w:val="000000"/>
          <w:sz w:val="24"/>
          <w:szCs w:val="24"/>
        </w:rPr>
        <w:t>)</w:t>
      </w:r>
    </w:p>
    <w:p w14:paraId="4598C1AF" w14:textId="668E58CA" w:rsidR="00B53CB1" w:rsidRPr="00B53CB1" w:rsidRDefault="00827A7A" w:rsidP="00B53CB1">
      <w:pPr>
        <w:ind w:firstLine="720"/>
        <w:rPr>
          <w:rFonts w:ascii="Calibri" w:eastAsia="Times New Roman" w:hAnsi="Calibri" w:cs="Calibri"/>
          <w:color w:val="000000"/>
          <w:sz w:val="24"/>
          <w:szCs w:val="24"/>
        </w:rPr>
      </w:pPr>
      <w:proofErr w:type="gramStart"/>
      <w:r w:rsidRPr="00B53CB1">
        <w:rPr>
          <w:rFonts w:ascii="Calibri" w:eastAsia="Times New Roman" w:hAnsi="Calibri" w:cs="Calibri"/>
          <w:color w:val="000000"/>
          <w:sz w:val="24"/>
          <w:szCs w:val="24"/>
        </w:rPr>
        <w:t>BIO</w:t>
      </w:r>
      <w:r w:rsidRPr="00B53CB1">
        <w:rPr>
          <w:rFonts w:ascii="Calibri" w:eastAsia="Times New Roman" w:hAnsi="Calibri" w:cs="Calibri"/>
          <w:color w:val="000000"/>
          <w:sz w:val="24"/>
          <w:szCs w:val="24"/>
        </w:rPr>
        <w:t xml:space="preserve">, </w:t>
      </w:r>
      <w:r w:rsidR="00B53CB1">
        <w:rPr>
          <w:rFonts w:ascii="Calibri" w:eastAsia="Times New Roman" w:hAnsi="Calibri" w:cs="Calibri"/>
          <w:color w:val="000000"/>
          <w:sz w:val="24"/>
          <w:szCs w:val="24"/>
        </w:rPr>
        <w:t xml:space="preserve">  </w:t>
      </w:r>
      <w:proofErr w:type="gramEnd"/>
      <w:r w:rsidR="00B53CB1">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(2014:</w:t>
      </w:r>
      <w:r w:rsidRPr="00B53CB1">
        <w:t xml:space="preserve"> </w:t>
      </w:r>
      <w:r w:rsidR="00B53CB1" w:rsidRPr="00B53CB1">
        <w:t xml:space="preserve">Yearly Change: </w:t>
      </w:r>
      <w:r w:rsidR="00B53CB1" w:rsidRPr="00B53CB1">
        <w:rPr>
          <w:rFonts w:ascii="Calibri" w:eastAsia="Times New Roman" w:hAnsi="Calibri" w:cs="Calibri"/>
          <w:color w:val="000000"/>
          <w:sz w:val="24"/>
          <w:szCs w:val="24"/>
        </w:rPr>
        <w:t>Percentage Change</w:t>
      </w:r>
      <w:r w:rsidR="00B53CB1">
        <w:rPr>
          <w:rFonts w:ascii="Calibri" w:eastAsia="Times New Roman" w:hAnsi="Calibri" w:cs="Calibri"/>
          <w:color w:val="000000"/>
          <w:sz w:val="24"/>
          <w:szCs w:val="24"/>
        </w:rPr>
        <w:t xml:space="preserve">: </w:t>
      </w:r>
      <w:r w:rsidR="00B53CB1" w:rsidRPr="00B53CB1">
        <w:rPr>
          <w:rFonts w:ascii="Calibri" w:eastAsia="Times New Roman" w:hAnsi="Calibri" w:cs="Calibri"/>
          <w:color w:val="000000"/>
          <w:sz w:val="24"/>
          <w:szCs w:val="24"/>
        </w:rPr>
        <w:t xml:space="preserve"> </w:t>
      </w:r>
      <w:r w:rsidR="00B53CB1" w:rsidRPr="00B53CB1">
        <w:t xml:space="preserve"> </w:t>
      </w:r>
      <w:r w:rsidRPr="00B53CB1">
        <w:rPr>
          <w:rFonts w:ascii="Calibri" w:eastAsia="Times New Roman" w:hAnsi="Calibri" w:cs="Calibri"/>
          <w:color w:val="000000"/>
          <w:sz w:val="24"/>
          <w:szCs w:val="24"/>
        </w:rPr>
        <w:t>0.91</w:t>
      </w:r>
      <w:r w:rsidRPr="00B53CB1">
        <w:rPr>
          <w:rFonts w:ascii="Calibri" w:eastAsia="Times New Roman" w:hAnsi="Calibri" w:cs="Calibri"/>
          <w:color w:val="000000"/>
          <w:sz w:val="24"/>
          <w:szCs w:val="24"/>
        </w:rPr>
        <w:t>_</w:t>
      </w:r>
      <w:r w:rsidRPr="00B53CB1">
        <w:rPr>
          <w:rFonts w:ascii="Calibri" w:eastAsia="Times New Roman" w:hAnsi="Calibri" w:cs="Calibri"/>
          <w:color w:val="000000"/>
          <w:sz w:val="24"/>
          <w:szCs w:val="24"/>
        </w:rPr>
        <w:t>12.17%</w:t>
      </w:r>
      <w:r w:rsidRPr="00B53CB1">
        <w:rPr>
          <w:rFonts w:ascii="Calibri" w:eastAsia="Times New Roman" w:hAnsi="Calibri" w:cs="Calibri"/>
          <w:color w:val="000000"/>
          <w:sz w:val="24"/>
          <w:szCs w:val="24"/>
        </w:rPr>
        <w:t xml:space="preserve"> </w:t>
      </w:r>
    </w:p>
    <w:p w14:paraId="2E0635C5" w14:textId="3444F23F" w:rsidR="00B53CB1" w:rsidRPr="00B53CB1" w:rsidRDefault="00827A7A" w:rsidP="00B53CB1">
      <w:pPr>
        <w:ind w:left="720" w:firstLine="720"/>
        <w:rPr>
          <w:rFonts w:ascii="Calibri" w:eastAsia="Times New Roman" w:hAnsi="Calibri" w:cs="Calibri"/>
          <w:color w:val="000000"/>
          <w:sz w:val="24"/>
          <w:szCs w:val="24"/>
        </w:rPr>
      </w:pPr>
      <w:r w:rsidRPr="00B53CB1">
        <w:rPr>
          <w:rFonts w:ascii="Calibri" w:eastAsia="Times New Roman" w:hAnsi="Calibri" w:cs="Calibri"/>
          <w:color w:val="000000"/>
          <w:sz w:val="24"/>
          <w:szCs w:val="24"/>
        </w:rPr>
        <w:t xml:space="preserve">2015: </w:t>
      </w:r>
      <w:r w:rsidR="00B53CB1" w:rsidRPr="00B53CB1">
        <w:t xml:space="preserve">Yearly Change:  </w:t>
      </w:r>
      <w:r w:rsidRPr="00B53CB1">
        <w:rPr>
          <w:rFonts w:ascii="Calibri" w:eastAsia="Times New Roman" w:hAnsi="Calibri" w:cs="Calibri"/>
          <w:color w:val="000000"/>
          <w:sz w:val="24"/>
          <w:szCs w:val="24"/>
        </w:rPr>
        <w:t>18.1</w:t>
      </w:r>
      <w:r w:rsidRPr="00B53CB1">
        <w:rPr>
          <w:rFonts w:ascii="Calibri" w:eastAsia="Times New Roman" w:hAnsi="Calibri" w:cs="Calibri"/>
          <w:color w:val="000000"/>
          <w:sz w:val="24"/>
          <w:szCs w:val="24"/>
        </w:rPr>
        <w:tab/>
      </w:r>
      <w:r w:rsidR="00B53CB1" w:rsidRPr="00B53CB1">
        <w:rPr>
          <w:rFonts w:ascii="Calibri" w:eastAsia="Times New Roman" w:hAnsi="Calibri" w:cs="Calibri"/>
          <w:color w:val="000000"/>
          <w:sz w:val="24"/>
          <w:szCs w:val="24"/>
        </w:rPr>
        <w:t>Percentage Change</w:t>
      </w:r>
      <w:r w:rsidR="00B53CB1">
        <w:rPr>
          <w:rFonts w:ascii="Calibri" w:eastAsia="Times New Roman" w:hAnsi="Calibri" w:cs="Calibri"/>
          <w:color w:val="000000"/>
          <w:sz w:val="24"/>
          <w:szCs w:val="24"/>
        </w:rPr>
        <w:t xml:space="preserve">: </w:t>
      </w:r>
      <w:r w:rsidR="00B53CB1" w:rsidRPr="00B53CB1">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 xml:space="preserve">15.01%, </w:t>
      </w:r>
    </w:p>
    <w:p w14:paraId="57CE3F21" w14:textId="66DF0B5E" w:rsidR="00827A7A" w:rsidRPr="00B53CB1" w:rsidRDefault="00827A7A" w:rsidP="00B53CB1">
      <w:pPr>
        <w:ind w:left="720" w:firstLine="720"/>
        <w:rPr>
          <w:rFonts w:ascii="Calibri" w:eastAsia="Times New Roman" w:hAnsi="Calibri" w:cs="Calibri"/>
          <w:color w:val="000000"/>
          <w:sz w:val="24"/>
          <w:szCs w:val="24"/>
        </w:rPr>
      </w:pPr>
      <w:r w:rsidRPr="00B53CB1">
        <w:rPr>
          <w:rFonts w:ascii="Calibri" w:eastAsia="Times New Roman" w:hAnsi="Calibri" w:cs="Calibri"/>
          <w:color w:val="000000"/>
          <w:sz w:val="24"/>
          <w:szCs w:val="24"/>
        </w:rPr>
        <w:t>2016:</w:t>
      </w:r>
      <w:r w:rsidRPr="00B53CB1">
        <w:t xml:space="preserve">  </w:t>
      </w:r>
      <w:r w:rsidR="00B53CB1" w:rsidRPr="00B53CB1">
        <w:t xml:space="preserve">Yearly Change:  </w:t>
      </w:r>
      <w:r w:rsidR="00750F3E" w:rsidRPr="00750F3E">
        <w:rPr>
          <w:rFonts w:ascii="Calibri" w:eastAsia="Times New Roman" w:hAnsi="Calibri" w:cs="Calibri"/>
          <w:color w:val="000000"/>
          <w:sz w:val="24"/>
          <w:szCs w:val="24"/>
        </w:rPr>
        <w:t>43.62</w:t>
      </w:r>
      <w:r w:rsidR="00750F3E">
        <w:rPr>
          <w:rFonts w:ascii="Calibri" w:eastAsia="Times New Roman" w:hAnsi="Calibri" w:cs="Calibri"/>
          <w:color w:val="000000"/>
          <w:sz w:val="24"/>
          <w:szCs w:val="24"/>
        </w:rPr>
        <w:t xml:space="preserve">    </w:t>
      </w:r>
      <w:r w:rsidR="00B53CB1" w:rsidRPr="00B53CB1">
        <w:rPr>
          <w:rFonts w:ascii="Calibri" w:eastAsia="Times New Roman" w:hAnsi="Calibri" w:cs="Calibri"/>
          <w:color w:val="000000"/>
          <w:sz w:val="24"/>
          <w:szCs w:val="24"/>
        </w:rPr>
        <w:t>Percentage Change</w:t>
      </w:r>
      <w:r w:rsidR="00B53CB1">
        <w:rPr>
          <w:rFonts w:ascii="Calibri" w:eastAsia="Times New Roman" w:hAnsi="Calibri" w:cs="Calibri"/>
          <w:color w:val="000000"/>
          <w:sz w:val="24"/>
          <w:szCs w:val="24"/>
        </w:rPr>
        <w:t xml:space="preserve">: </w:t>
      </w:r>
      <w:r w:rsidR="00B53CB1" w:rsidRPr="00B53CB1">
        <w:rPr>
          <w:rFonts w:ascii="Calibri" w:eastAsia="Times New Roman" w:hAnsi="Calibri" w:cs="Calibri"/>
          <w:color w:val="000000"/>
          <w:sz w:val="24"/>
          <w:szCs w:val="24"/>
        </w:rPr>
        <w:t xml:space="preserve"> </w:t>
      </w:r>
      <w:r w:rsidR="00750F3E" w:rsidRPr="00750F3E">
        <w:rPr>
          <w:rFonts w:ascii="Calibri" w:eastAsia="Times New Roman" w:hAnsi="Calibri" w:cs="Calibri"/>
          <w:color w:val="000000"/>
          <w:sz w:val="24"/>
          <w:szCs w:val="24"/>
        </w:rPr>
        <w:t>31.46%</w:t>
      </w:r>
      <w:r w:rsidR="00750F3E">
        <w:rPr>
          <w:rFonts w:ascii="Calibri" w:eastAsia="Times New Roman" w:hAnsi="Calibri" w:cs="Calibri"/>
          <w:color w:val="000000"/>
          <w:sz w:val="24"/>
          <w:szCs w:val="24"/>
        </w:rPr>
        <w:t>)</w:t>
      </w:r>
    </w:p>
    <w:p w14:paraId="044B6219" w14:textId="7E53270C" w:rsidR="00B53CB1" w:rsidRPr="00B53CB1" w:rsidRDefault="00B53CB1" w:rsidP="00B53CB1">
      <w:pPr>
        <w:ind w:firstLine="720"/>
        <w:rPr>
          <w:rFonts w:ascii="Calibri" w:eastAsia="Times New Roman" w:hAnsi="Calibri" w:cs="Calibri"/>
          <w:color w:val="000000"/>
          <w:sz w:val="24"/>
          <w:szCs w:val="24"/>
        </w:rPr>
      </w:pPr>
      <w:r w:rsidRPr="00B53CB1">
        <w:rPr>
          <w:rFonts w:ascii="Calibri" w:eastAsia="Times New Roman" w:hAnsi="Calibri" w:cs="Calibri"/>
          <w:color w:val="000000"/>
          <w:sz w:val="24"/>
          <w:szCs w:val="24"/>
        </w:rPr>
        <w:t xml:space="preserve">EW </w:t>
      </w:r>
      <w:r>
        <w:rPr>
          <w:rFonts w:ascii="Calibri" w:eastAsia="Times New Roman" w:hAnsi="Calibri" w:cs="Calibri"/>
          <w:color w:val="000000"/>
          <w:sz w:val="24"/>
          <w:szCs w:val="24"/>
        </w:rPr>
        <w:t xml:space="preserve"> </w:t>
      </w:r>
      <w:proofErr w:type="gramStart"/>
      <w:r>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w:t>
      </w:r>
      <w:proofErr w:type="gramEnd"/>
      <w:r w:rsidRPr="00B53CB1">
        <w:rPr>
          <w:rFonts w:ascii="Calibri" w:eastAsia="Times New Roman" w:hAnsi="Calibri" w:cs="Calibri"/>
          <w:color w:val="000000"/>
          <w:sz w:val="24"/>
          <w:szCs w:val="24"/>
        </w:rPr>
        <w:t xml:space="preserve">2014: </w:t>
      </w:r>
      <w:r w:rsidRPr="00B53CB1">
        <w:t xml:space="preserve">Yearly Change:  </w:t>
      </w:r>
      <w:r w:rsidRPr="00B53CB1">
        <w:rPr>
          <w:rFonts w:ascii="Calibri" w:eastAsia="Times New Roman" w:hAnsi="Calibri" w:cs="Calibri"/>
          <w:color w:val="000000"/>
          <w:sz w:val="24"/>
          <w:szCs w:val="24"/>
        </w:rPr>
        <w:t>3</w:t>
      </w:r>
      <w:r w:rsidRPr="00B53CB1">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Percentage Change</w:t>
      </w:r>
      <w:r>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 xml:space="preserve"> 0.81</w:t>
      </w:r>
      <w:r w:rsidRPr="00B53CB1">
        <w:rPr>
          <w:rFonts w:ascii="Calibri" w:eastAsia="Times New Roman" w:hAnsi="Calibri" w:cs="Calibri"/>
          <w:color w:val="000000"/>
          <w:sz w:val="24"/>
          <w:szCs w:val="24"/>
        </w:rPr>
        <w:t>_</w:t>
      </w:r>
      <w:r w:rsidRPr="00B53CB1">
        <w:rPr>
          <w:rFonts w:ascii="Calibri" w:eastAsia="Times New Roman" w:hAnsi="Calibri" w:cs="Calibri"/>
          <w:color w:val="000000"/>
          <w:sz w:val="24"/>
          <w:szCs w:val="24"/>
        </w:rPr>
        <w:t>93.70%</w:t>
      </w:r>
      <w:r w:rsidRPr="00B53CB1">
        <w:rPr>
          <w:rFonts w:ascii="Calibri" w:eastAsia="Times New Roman" w:hAnsi="Calibri" w:cs="Calibri"/>
          <w:color w:val="000000"/>
          <w:sz w:val="24"/>
          <w:szCs w:val="24"/>
        </w:rPr>
        <w:t xml:space="preserve"> </w:t>
      </w:r>
    </w:p>
    <w:p w14:paraId="57AD9295" w14:textId="2C450A99" w:rsidR="00B53CB1" w:rsidRPr="00B53CB1" w:rsidRDefault="00B53CB1" w:rsidP="00B53CB1">
      <w:pPr>
        <w:ind w:left="720" w:firstLine="720"/>
        <w:rPr>
          <w:rFonts w:ascii="Calibri" w:eastAsia="Times New Roman" w:hAnsi="Calibri" w:cs="Calibri"/>
          <w:color w:val="000000"/>
          <w:sz w:val="24"/>
          <w:szCs w:val="24"/>
        </w:rPr>
      </w:pPr>
      <w:r w:rsidRPr="00B53CB1">
        <w:rPr>
          <w:rFonts w:ascii="Calibri" w:eastAsia="Times New Roman" w:hAnsi="Calibri" w:cs="Calibri"/>
          <w:color w:val="000000"/>
          <w:sz w:val="24"/>
          <w:szCs w:val="24"/>
        </w:rPr>
        <w:lastRenderedPageBreak/>
        <w:t xml:space="preserve">2015: </w:t>
      </w:r>
      <w:r w:rsidRPr="00B53CB1">
        <w:t xml:space="preserve">Yearly Change:  </w:t>
      </w:r>
      <w:r w:rsidRPr="00B53CB1">
        <w:rPr>
          <w:rFonts w:ascii="Calibri" w:eastAsia="Times New Roman" w:hAnsi="Calibri" w:cs="Calibri"/>
          <w:color w:val="000000"/>
          <w:sz w:val="24"/>
          <w:szCs w:val="24"/>
        </w:rPr>
        <w:t>Percentage Change</w:t>
      </w:r>
      <w:r>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 xml:space="preserve"> 15.29</w:t>
      </w:r>
      <w:r w:rsidRPr="00B53CB1">
        <w:rPr>
          <w:rFonts w:ascii="Calibri" w:eastAsia="Times New Roman" w:hAnsi="Calibri" w:cs="Calibri"/>
          <w:color w:val="000000"/>
          <w:sz w:val="24"/>
          <w:szCs w:val="24"/>
        </w:rPr>
        <w:t>_</w:t>
      </w:r>
      <w:r w:rsidRPr="00B53CB1">
        <w:rPr>
          <w:rFonts w:ascii="Calibri" w:eastAsia="Times New Roman" w:hAnsi="Calibri" w:cs="Calibri"/>
          <w:color w:val="000000"/>
          <w:sz w:val="24"/>
          <w:szCs w:val="24"/>
        </w:rPr>
        <w:t>24.01%</w:t>
      </w:r>
      <w:r w:rsidRPr="00B53CB1">
        <w:rPr>
          <w:rFonts w:ascii="Calibri" w:eastAsia="Times New Roman" w:hAnsi="Calibri" w:cs="Calibri"/>
          <w:color w:val="000000"/>
          <w:sz w:val="24"/>
          <w:szCs w:val="24"/>
        </w:rPr>
        <w:t xml:space="preserve"> </w:t>
      </w:r>
    </w:p>
    <w:p w14:paraId="3B694BAA" w14:textId="55D16637" w:rsidR="00B53CB1" w:rsidRDefault="00B53CB1" w:rsidP="00B53CB1">
      <w:pPr>
        <w:ind w:left="720" w:firstLine="720"/>
        <w:rPr>
          <w:rFonts w:ascii="Calibri" w:eastAsia="Times New Roman" w:hAnsi="Calibri" w:cs="Calibri"/>
          <w:color w:val="000000"/>
          <w:sz w:val="24"/>
          <w:szCs w:val="24"/>
        </w:rPr>
      </w:pPr>
      <w:proofErr w:type="gramStart"/>
      <w:r>
        <w:t>2016:</w:t>
      </w:r>
      <w:r w:rsidRPr="00B53CB1">
        <w:t>Yearly</w:t>
      </w:r>
      <w:proofErr w:type="gramEnd"/>
      <w:r w:rsidRPr="00B53CB1">
        <w:t xml:space="preserve"> Change:  </w:t>
      </w:r>
      <w:r w:rsidRPr="00B53CB1">
        <w:rPr>
          <w:rFonts w:ascii="Calibri" w:eastAsia="Times New Roman" w:hAnsi="Calibri" w:cs="Calibri"/>
          <w:color w:val="000000"/>
          <w:sz w:val="24"/>
          <w:szCs w:val="24"/>
        </w:rPr>
        <w:t>Percentage Change</w:t>
      </w:r>
      <w:r>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 xml:space="preserve"> </w:t>
      </w:r>
      <w:r w:rsidRPr="00B53CB1">
        <w:rPr>
          <w:rFonts w:ascii="Calibri" w:eastAsia="Times New Roman" w:hAnsi="Calibri" w:cs="Calibri"/>
          <w:color w:val="000000"/>
          <w:sz w:val="24"/>
          <w:szCs w:val="24"/>
        </w:rPr>
        <w:t xml:space="preserve">2016: </w:t>
      </w:r>
      <w:r w:rsidRPr="00B53CB1">
        <w:rPr>
          <w:rFonts w:ascii="Calibri" w:eastAsia="Times New Roman" w:hAnsi="Calibri" w:cs="Calibri"/>
          <w:color w:val="000000"/>
          <w:sz w:val="24"/>
          <w:szCs w:val="24"/>
        </w:rPr>
        <w:t>14.72</w:t>
      </w:r>
      <w:r w:rsidRPr="00B53CB1">
        <w:rPr>
          <w:rFonts w:ascii="Calibri" w:eastAsia="Times New Roman" w:hAnsi="Calibri" w:cs="Calibri"/>
          <w:color w:val="000000"/>
          <w:sz w:val="24"/>
          <w:szCs w:val="24"/>
        </w:rPr>
        <w:t>_</w:t>
      </w:r>
      <w:r w:rsidRPr="00B53CB1">
        <w:rPr>
          <w:rFonts w:ascii="Calibri" w:eastAsia="Times New Roman" w:hAnsi="Calibri" w:cs="Calibri"/>
          <w:color w:val="000000"/>
          <w:sz w:val="24"/>
          <w:szCs w:val="24"/>
        </w:rPr>
        <w:t>18.64%</w:t>
      </w:r>
      <w:r w:rsidRPr="00B53CB1">
        <w:rPr>
          <w:rFonts w:ascii="Calibri" w:eastAsia="Times New Roman" w:hAnsi="Calibri" w:cs="Calibri"/>
          <w:color w:val="000000"/>
          <w:sz w:val="24"/>
          <w:szCs w:val="24"/>
        </w:rPr>
        <w:t>)</w:t>
      </w:r>
    </w:p>
    <w:p w14:paraId="5D1747EF" w14:textId="612F8A57" w:rsidR="00B53CB1" w:rsidRDefault="00B53CB1" w:rsidP="00B53CB1">
      <w:pPr>
        <w:rPr>
          <w:rFonts w:ascii="Calibri" w:eastAsia="Times New Roman" w:hAnsi="Calibri" w:cs="Calibri"/>
          <w:color w:val="000000"/>
          <w:sz w:val="24"/>
          <w:szCs w:val="24"/>
        </w:rPr>
      </w:pPr>
    </w:p>
    <w:p w14:paraId="757AE5D8" w14:textId="3F5E8C72" w:rsidR="00B53CB1" w:rsidRDefault="00B53CB1" w:rsidP="00827A7A">
      <w:pPr>
        <w:rPr>
          <w:rFonts w:ascii="Calibri" w:eastAsia="Times New Roman" w:hAnsi="Calibri" w:cs="Calibri"/>
          <w:color w:val="000000"/>
          <w:sz w:val="24"/>
          <w:szCs w:val="24"/>
        </w:rPr>
      </w:pPr>
      <w:r>
        <w:rPr>
          <w:rFonts w:ascii="Calibri" w:eastAsia="Times New Roman" w:hAnsi="Calibri" w:cs="Calibri"/>
          <w:color w:val="000000"/>
          <w:sz w:val="24"/>
          <w:szCs w:val="24"/>
        </w:rPr>
        <w:t>These four stocks are stocks related to the medical or healthcare field. The information that was provided on this table (and information from Google and how these stocks raised significantly in 2020-2021) is that healthcare field is always growing and expanding, and so are the stocks for these companies.</w:t>
      </w:r>
      <w:r w:rsidR="00750F3E">
        <w:rPr>
          <w:rFonts w:ascii="Calibri" w:eastAsia="Times New Roman" w:hAnsi="Calibri" w:cs="Calibri"/>
          <w:color w:val="000000"/>
          <w:sz w:val="24"/>
          <w:szCs w:val="24"/>
        </w:rPr>
        <w:t xml:space="preserve"> </w:t>
      </w:r>
    </w:p>
    <w:p w14:paraId="293EBEE4" w14:textId="6696968E" w:rsidR="00750F3E" w:rsidRDefault="00750F3E" w:rsidP="00827A7A">
      <w:pPr>
        <w:rPr>
          <w:rFonts w:ascii="Calibri" w:eastAsia="Times New Roman" w:hAnsi="Calibri" w:cs="Calibri"/>
          <w:color w:val="000000"/>
          <w:sz w:val="24"/>
          <w:szCs w:val="24"/>
        </w:rPr>
      </w:pPr>
      <w:r>
        <w:rPr>
          <w:rFonts w:ascii="Calibri" w:eastAsia="Times New Roman" w:hAnsi="Calibri" w:cs="Calibri"/>
          <w:color w:val="000000"/>
          <w:sz w:val="24"/>
          <w:szCs w:val="24"/>
        </w:rPr>
        <w:tab/>
        <w:t>Per the data set healthcare is one of the best areas to invest in for long term profit return</w:t>
      </w:r>
      <w:r w:rsidR="000A1CB1">
        <w:rPr>
          <w:rFonts w:ascii="Calibri" w:eastAsia="Times New Roman" w:hAnsi="Calibri" w:cs="Calibri"/>
          <w:color w:val="000000"/>
          <w:sz w:val="24"/>
          <w:szCs w:val="24"/>
        </w:rPr>
        <w:t xml:space="preserve"> with a small risk. </w:t>
      </w:r>
    </w:p>
    <w:p w14:paraId="3B5B58A2" w14:textId="524F1FAA" w:rsidR="00750F3E" w:rsidRPr="00750F3E" w:rsidRDefault="00750F3E" w:rsidP="00750F3E">
      <w:pPr>
        <w:rPr>
          <w:rFonts w:ascii="Calibri" w:eastAsia="Times New Roman" w:hAnsi="Calibri" w:cs="Calibri"/>
          <w:color w:val="000000"/>
          <w:sz w:val="24"/>
          <w:szCs w:val="24"/>
        </w:rPr>
      </w:pPr>
      <w:r>
        <w:rPr>
          <w:rFonts w:ascii="Calibri" w:eastAsia="Times New Roman" w:hAnsi="Calibri" w:cs="Calibri"/>
          <w:color w:val="000000"/>
          <w:sz w:val="24"/>
          <w:szCs w:val="24"/>
        </w:rPr>
        <w:tab/>
        <w:t xml:space="preserve">For short </w:t>
      </w:r>
      <w:r w:rsidR="000A1CB1">
        <w:rPr>
          <w:rFonts w:ascii="Calibri" w:eastAsia="Times New Roman" w:hAnsi="Calibri" w:cs="Calibri"/>
          <w:color w:val="000000"/>
          <w:sz w:val="24"/>
          <w:szCs w:val="24"/>
        </w:rPr>
        <w:t xml:space="preserve">term but high </w:t>
      </w:r>
      <w:r>
        <w:rPr>
          <w:rFonts w:ascii="Calibri" w:eastAsia="Times New Roman" w:hAnsi="Calibri" w:cs="Calibri"/>
          <w:color w:val="000000"/>
          <w:sz w:val="24"/>
          <w:szCs w:val="24"/>
        </w:rPr>
        <w:t>profit return</w:t>
      </w:r>
      <w:r w:rsidR="000A1CB1">
        <w:rPr>
          <w:rFonts w:ascii="Calibri" w:eastAsia="Times New Roman" w:hAnsi="Calibri" w:cs="Calibri"/>
          <w:color w:val="000000"/>
          <w:sz w:val="24"/>
          <w:szCs w:val="24"/>
        </w:rPr>
        <w:t>, and if our imaginary client is the type that wants t</w:t>
      </w:r>
      <w:r w:rsidR="000A1CB1" w:rsidRPr="000A1CB1">
        <w:rPr>
          <w:rFonts w:ascii="Calibri" w:eastAsia="Times New Roman" w:hAnsi="Calibri" w:cs="Calibri"/>
          <w:color w:val="000000"/>
          <w:sz w:val="24"/>
          <w:szCs w:val="24"/>
        </w:rPr>
        <w:t>o get their returns as quickly as possible, and they capitalize on sharp gains.</w:t>
      </w:r>
      <w:r w:rsidR="000A1CB1">
        <w:rPr>
          <w:rFonts w:ascii="Calibri" w:eastAsia="Times New Roman" w:hAnsi="Calibri" w:cs="Calibri"/>
          <w:color w:val="000000"/>
          <w:sz w:val="24"/>
          <w:szCs w:val="24"/>
        </w:rPr>
        <w:t xml:space="preserve"> Then, </w:t>
      </w:r>
      <w:r w:rsidRPr="00750F3E">
        <w:rPr>
          <w:rFonts w:ascii="Calibri" w:eastAsia="Times New Roman" w:hAnsi="Calibri" w:cs="Calibri"/>
          <w:color w:val="000000"/>
          <w:sz w:val="24"/>
          <w:szCs w:val="24"/>
        </w:rPr>
        <w:t>TOWR</w:t>
      </w:r>
      <w:r>
        <w:rPr>
          <w:rFonts w:ascii="Calibri" w:eastAsia="Times New Roman" w:hAnsi="Calibri" w:cs="Calibri"/>
          <w:color w:val="000000"/>
          <w:sz w:val="24"/>
          <w:szCs w:val="24"/>
        </w:rPr>
        <w:t xml:space="preserve">, </w:t>
      </w:r>
      <w:r w:rsidRPr="00750F3E">
        <w:rPr>
          <w:rFonts w:ascii="Calibri" w:eastAsia="Times New Roman" w:hAnsi="Calibri" w:cs="Calibri"/>
          <w:color w:val="000000"/>
          <w:sz w:val="24"/>
          <w:szCs w:val="24"/>
        </w:rPr>
        <w:t>GFI</w:t>
      </w:r>
      <w:r>
        <w:rPr>
          <w:rFonts w:ascii="Calibri" w:eastAsia="Times New Roman" w:hAnsi="Calibri" w:cs="Calibri"/>
          <w:color w:val="000000"/>
          <w:sz w:val="24"/>
          <w:szCs w:val="24"/>
        </w:rPr>
        <w:t xml:space="preserve">, </w:t>
      </w:r>
      <w:r w:rsidR="000A1CB1">
        <w:rPr>
          <w:rFonts w:ascii="Calibri" w:eastAsia="Times New Roman" w:hAnsi="Calibri" w:cs="Calibri"/>
          <w:color w:val="000000"/>
          <w:sz w:val="24"/>
          <w:szCs w:val="24"/>
        </w:rPr>
        <w:t>and</w:t>
      </w:r>
      <w:r>
        <w:rPr>
          <w:rFonts w:ascii="Calibri" w:eastAsia="Times New Roman" w:hAnsi="Calibri" w:cs="Calibri"/>
          <w:color w:val="000000"/>
          <w:sz w:val="24"/>
          <w:szCs w:val="24"/>
        </w:rPr>
        <w:t xml:space="preserve"> </w:t>
      </w:r>
      <w:r w:rsidRPr="00750F3E">
        <w:rPr>
          <w:rFonts w:ascii="Calibri" w:eastAsia="Times New Roman" w:hAnsi="Calibri" w:cs="Calibri"/>
          <w:color w:val="000000"/>
          <w:sz w:val="24"/>
          <w:szCs w:val="24"/>
        </w:rPr>
        <w:t>CA</w:t>
      </w:r>
      <w:r>
        <w:rPr>
          <w:rFonts w:ascii="Calibri" w:eastAsia="Times New Roman" w:hAnsi="Calibri" w:cs="Calibri"/>
          <w:color w:val="000000"/>
          <w:sz w:val="24"/>
          <w:szCs w:val="24"/>
        </w:rPr>
        <w:t>E</w:t>
      </w:r>
      <w:r w:rsidR="000A1CB1">
        <w:rPr>
          <w:rFonts w:ascii="Calibri" w:eastAsia="Times New Roman" w:hAnsi="Calibri" w:cs="Calibri"/>
          <w:color w:val="000000"/>
          <w:sz w:val="24"/>
          <w:szCs w:val="24"/>
        </w:rPr>
        <w:t xml:space="preserve">.  I would recommend for the client to buy these fast, sell fast and repeat once there is a dip, and sell again once there is a small spike, and keep the cycle going until the stock either dips for good, or in some rara cases becomes a stock in which to invest in for the long run. </w:t>
      </w:r>
    </w:p>
    <w:p w14:paraId="1615918D" w14:textId="1C845074" w:rsidR="00750F3E" w:rsidRPr="00750F3E" w:rsidRDefault="00750F3E" w:rsidP="00750F3E">
      <w:pPr>
        <w:rPr>
          <w:rFonts w:ascii="Calibri" w:eastAsia="Times New Roman" w:hAnsi="Calibri" w:cs="Calibri"/>
          <w:color w:val="000000"/>
          <w:sz w:val="24"/>
          <w:szCs w:val="24"/>
        </w:rPr>
      </w:pPr>
    </w:p>
    <w:p w14:paraId="311840C3" w14:textId="18D22C6D" w:rsidR="00750F3E" w:rsidRPr="00B53CB1" w:rsidRDefault="00750F3E" w:rsidP="00827A7A">
      <w:pPr>
        <w:rPr>
          <w:rFonts w:ascii="Calibri" w:eastAsia="Times New Roman" w:hAnsi="Calibri" w:cs="Calibri"/>
          <w:color w:val="000000"/>
          <w:sz w:val="24"/>
          <w:szCs w:val="24"/>
        </w:rPr>
      </w:pPr>
    </w:p>
    <w:p w14:paraId="06253946" w14:textId="77777777" w:rsidR="00B53CB1" w:rsidRPr="00B53CB1" w:rsidRDefault="00B53CB1" w:rsidP="00827A7A">
      <w:pPr>
        <w:rPr>
          <w:rFonts w:ascii="Calibri" w:eastAsia="Times New Roman" w:hAnsi="Calibri" w:cs="Calibri"/>
          <w:color w:val="000000"/>
          <w:sz w:val="24"/>
          <w:szCs w:val="24"/>
        </w:rPr>
      </w:pPr>
    </w:p>
    <w:p w14:paraId="7293FB98" w14:textId="365047F5" w:rsidR="00F73EEF" w:rsidRPr="00B53CB1" w:rsidRDefault="00F73EEF" w:rsidP="00F73EEF">
      <w:pPr>
        <w:rPr>
          <w:rFonts w:ascii="Calibri" w:eastAsia="Times New Roman" w:hAnsi="Calibri" w:cs="Calibri"/>
          <w:color w:val="000000"/>
          <w:sz w:val="24"/>
          <w:szCs w:val="24"/>
        </w:rPr>
      </w:pPr>
    </w:p>
    <w:p w14:paraId="1F6A83AC" w14:textId="5DA21C01" w:rsidR="00F73EEF" w:rsidRPr="00B53CB1" w:rsidRDefault="00F73EEF"/>
    <w:sectPr w:rsidR="00F73EEF" w:rsidRPr="00B53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3A"/>
    <w:rsid w:val="000A1CB1"/>
    <w:rsid w:val="003022E4"/>
    <w:rsid w:val="00750F3E"/>
    <w:rsid w:val="00827A7A"/>
    <w:rsid w:val="0091123A"/>
    <w:rsid w:val="00B53CB1"/>
    <w:rsid w:val="00EE239B"/>
    <w:rsid w:val="00F73EEF"/>
    <w:rsid w:val="00FD30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157F"/>
  <w15:chartTrackingRefBased/>
  <w15:docId w15:val="{C1F7F800-A702-409D-ACF5-315F3535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9323">
      <w:bodyDiv w:val="1"/>
      <w:marLeft w:val="0"/>
      <w:marRight w:val="0"/>
      <w:marTop w:val="0"/>
      <w:marBottom w:val="0"/>
      <w:divBdr>
        <w:top w:val="none" w:sz="0" w:space="0" w:color="auto"/>
        <w:left w:val="none" w:sz="0" w:space="0" w:color="auto"/>
        <w:bottom w:val="none" w:sz="0" w:space="0" w:color="auto"/>
        <w:right w:val="none" w:sz="0" w:space="0" w:color="auto"/>
      </w:divBdr>
    </w:div>
    <w:div w:id="376902344">
      <w:bodyDiv w:val="1"/>
      <w:marLeft w:val="0"/>
      <w:marRight w:val="0"/>
      <w:marTop w:val="0"/>
      <w:marBottom w:val="0"/>
      <w:divBdr>
        <w:top w:val="none" w:sz="0" w:space="0" w:color="auto"/>
        <w:left w:val="none" w:sz="0" w:space="0" w:color="auto"/>
        <w:bottom w:val="none" w:sz="0" w:space="0" w:color="auto"/>
        <w:right w:val="none" w:sz="0" w:space="0" w:color="auto"/>
      </w:divBdr>
    </w:div>
    <w:div w:id="673650698">
      <w:bodyDiv w:val="1"/>
      <w:marLeft w:val="0"/>
      <w:marRight w:val="0"/>
      <w:marTop w:val="0"/>
      <w:marBottom w:val="0"/>
      <w:divBdr>
        <w:top w:val="none" w:sz="0" w:space="0" w:color="auto"/>
        <w:left w:val="none" w:sz="0" w:space="0" w:color="auto"/>
        <w:bottom w:val="none" w:sz="0" w:space="0" w:color="auto"/>
        <w:right w:val="none" w:sz="0" w:space="0" w:color="auto"/>
      </w:divBdr>
    </w:div>
    <w:div w:id="795607642">
      <w:bodyDiv w:val="1"/>
      <w:marLeft w:val="0"/>
      <w:marRight w:val="0"/>
      <w:marTop w:val="0"/>
      <w:marBottom w:val="0"/>
      <w:divBdr>
        <w:top w:val="none" w:sz="0" w:space="0" w:color="auto"/>
        <w:left w:val="none" w:sz="0" w:space="0" w:color="auto"/>
        <w:bottom w:val="none" w:sz="0" w:space="0" w:color="auto"/>
        <w:right w:val="none" w:sz="0" w:space="0" w:color="auto"/>
      </w:divBdr>
    </w:div>
    <w:div w:id="1315337953">
      <w:bodyDiv w:val="1"/>
      <w:marLeft w:val="0"/>
      <w:marRight w:val="0"/>
      <w:marTop w:val="0"/>
      <w:marBottom w:val="0"/>
      <w:divBdr>
        <w:top w:val="none" w:sz="0" w:space="0" w:color="auto"/>
        <w:left w:val="none" w:sz="0" w:space="0" w:color="auto"/>
        <w:bottom w:val="none" w:sz="0" w:space="0" w:color="auto"/>
        <w:right w:val="none" w:sz="0" w:space="0" w:color="auto"/>
      </w:divBdr>
    </w:div>
    <w:div w:id="1352488871">
      <w:bodyDiv w:val="1"/>
      <w:marLeft w:val="0"/>
      <w:marRight w:val="0"/>
      <w:marTop w:val="0"/>
      <w:marBottom w:val="0"/>
      <w:divBdr>
        <w:top w:val="none" w:sz="0" w:space="0" w:color="auto"/>
        <w:left w:val="none" w:sz="0" w:space="0" w:color="auto"/>
        <w:bottom w:val="none" w:sz="0" w:space="0" w:color="auto"/>
        <w:right w:val="none" w:sz="0" w:space="0" w:color="auto"/>
      </w:divBdr>
    </w:div>
    <w:div w:id="1396976876">
      <w:bodyDiv w:val="1"/>
      <w:marLeft w:val="0"/>
      <w:marRight w:val="0"/>
      <w:marTop w:val="0"/>
      <w:marBottom w:val="0"/>
      <w:divBdr>
        <w:top w:val="none" w:sz="0" w:space="0" w:color="auto"/>
        <w:left w:val="none" w:sz="0" w:space="0" w:color="auto"/>
        <w:bottom w:val="none" w:sz="0" w:space="0" w:color="auto"/>
        <w:right w:val="none" w:sz="0" w:space="0" w:color="auto"/>
      </w:divBdr>
    </w:div>
    <w:div w:id="1592279626">
      <w:bodyDiv w:val="1"/>
      <w:marLeft w:val="0"/>
      <w:marRight w:val="0"/>
      <w:marTop w:val="0"/>
      <w:marBottom w:val="0"/>
      <w:divBdr>
        <w:top w:val="none" w:sz="0" w:space="0" w:color="auto"/>
        <w:left w:val="none" w:sz="0" w:space="0" w:color="auto"/>
        <w:bottom w:val="none" w:sz="0" w:space="0" w:color="auto"/>
        <w:right w:val="none" w:sz="0" w:space="0" w:color="auto"/>
      </w:divBdr>
    </w:div>
    <w:div w:id="1626307059">
      <w:bodyDiv w:val="1"/>
      <w:marLeft w:val="0"/>
      <w:marRight w:val="0"/>
      <w:marTop w:val="0"/>
      <w:marBottom w:val="0"/>
      <w:divBdr>
        <w:top w:val="none" w:sz="0" w:space="0" w:color="auto"/>
        <w:left w:val="none" w:sz="0" w:space="0" w:color="auto"/>
        <w:bottom w:val="none" w:sz="0" w:space="0" w:color="auto"/>
        <w:right w:val="none" w:sz="0" w:space="0" w:color="auto"/>
      </w:divBdr>
    </w:div>
    <w:div w:id="1671056018">
      <w:bodyDiv w:val="1"/>
      <w:marLeft w:val="0"/>
      <w:marRight w:val="0"/>
      <w:marTop w:val="0"/>
      <w:marBottom w:val="0"/>
      <w:divBdr>
        <w:top w:val="none" w:sz="0" w:space="0" w:color="auto"/>
        <w:left w:val="none" w:sz="0" w:space="0" w:color="auto"/>
        <w:bottom w:val="none" w:sz="0" w:space="0" w:color="auto"/>
        <w:right w:val="none" w:sz="0" w:space="0" w:color="auto"/>
      </w:divBdr>
    </w:div>
    <w:div w:id="2003124505">
      <w:bodyDiv w:val="1"/>
      <w:marLeft w:val="0"/>
      <w:marRight w:val="0"/>
      <w:marTop w:val="0"/>
      <w:marBottom w:val="0"/>
      <w:divBdr>
        <w:top w:val="none" w:sz="0" w:space="0" w:color="auto"/>
        <w:left w:val="none" w:sz="0" w:space="0" w:color="auto"/>
        <w:bottom w:val="none" w:sz="0" w:space="0" w:color="auto"/>
        <w:right w:val="none" w:sz="0" w:space="0" w:color="auto"/>
      </w:divBdr>
    </w:div>
    <w:div w:id="205018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Bethzaida Guerra</dc:creator>
  <cp:keywords/>
  <dc:description/>
  <cp:lastModifiedBy>Bethzaida Guerra</cp:lastModifiedBy>
  <cp:revision>1</cp:revision>
  <dcterms:created xsi:type="dcterms:W3CDTF">2021-07-24T09:15:00Z</dcterms:created>
  <dcterms:modified xsi:type="dcterms:W3CDTF">2021-07-24T10:16:00Z</dcterms:modified>
</cp:coreProperties>
</file>