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image/png" PartName="/word/media/header_image_rId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8.3.1 (Apache licensed) using REFERENCE JAXB in Temurin Java 1.8.0_345 on Linux -->
    <w:p>
      <w:pPr>
        <w:spacing w:after="400" w:line="400" w:lineRule="atLeast"/>
        <w:jc w:val="center"/>
      </w:pPr>
      <w:r>
        <w:rPr>
          <w:b/>
          <w:sz w:val="39"/>
        </w:rPr>
        <w:t>为什么部分患者抗体阳性但甲状腺功能正常，而另一些患者快速进展为甲减？</w:t>
      </w:r>
    </w:p>
    <w:p>
      <w:pPr>
        <w:pStyle w:val="Heading2"/>
        <w:spacing w:after="400" w:line="400" w:lineRule="atLeast"/>
      </w:pPr>
      <w:r>
        <w:t>回答</w:t>
      </w:r>
    </w:p>
    <w:p>
      <w:pPr>
        <w:spacing w:after="400" w:line="400" w:lineRule="atLeast"/>
      </w:pPr>
      <w:r>
        <w:t>甲状腺抗体阳性（如TPOAb、TgAb）患者出现甲状腺功能正常或快速进展为甲减的差异，源于</w:t>
      </w:r>
      <w:r>
        <w:rPr>
          <w:b w:val="true"/>
        </w:rPr>
        <w:t>甲状腺组织代偿能力、抗体特性、免疫微环境及外部因素的动态博弈</w:t>
      </w:r>
      <w:r>
        <w:t>。以下从机制、临床分型及预测因素展开分析：</w:t>
      </w:r>
    </w:p>
    <w:p>
      <w:pPr>
        <w:spacing w:after="400" w:line="400" w:lineRule="atLeast"/>
      </w:pPr>
      <w:r>
        <w:rPr>
          <w:b/>
          <w:sz w:val="30"/>
        </w:rPr>
        <w:t>一、核心机制：抗体阳性≠实时组织破坏</w:t>
      </w:r>
    </w:p>
    <w:p>
      <w:pPr>
        <w:spacing w:after="400" w:line="400" w:lineRule="atLeast"/>
      </w:pPr>
      <w:r>
        <w:rPr>
          <w:b/>
          <w:sz w:val="26"/>
        </w:rPr>
        <w:t xml:space="preserve">1. </w:t>
      </w:r>
      <w:r>
        <w:rPr>
          <w:b w:val="true"/>
          <w:sz w:val="26"/>
        </w:rPr>
        <w:t>甲状腺代偿能力的个体差异</w:t>
      </w:r>
    </w:p>
    <w:p>
      <w:pPr>
        <w:numPr>
          <w:ilvl w:val="-1"/>
          <w:numId w:val="2"/>
        </w:numPr>
        <w:spacing w:after="400" w:line="400" w:lineRule="atLeast"/>
      </w:pPr>
      <w:r>
        <w:rPr>
          <w:b w:val="true"/>
        </w:rPr>
        <w:t>滤泡储备阈值</w:t>
      </w:r>
      <w:r>
        <w:t xml:space="preserve">：甲状腺需破坏&gt;70%滤泡细胞才出现显性甲减。部分患者储备充足（如年轻、无纤维化），即使抗体滴度高（TPOAb&gt;1000 IU/mL）仍可代偿[1][8][13]。</w:t>
      </w:r>
    </w:p>
    <w:p>
      <w:pPr>
        <w:numPr>
          <w:ilvl w:val="-1"/>
          <w:numId w:val="2"/>
        </w:numPr>
        <w:spacing w:after="400" w:line="400" w:lineRule="atLeast"/>
      </w:pPr>
      <w:r>
        <w:rPr>
          <w:b w:val="true"/>
        </w:rPr>
        <w:t>再生能力</w:t>
      </w:r>
      <w:r>
        <w:t>：干细胞活性强者可修复受损滤泡，维持功能正常（尤其&lt;40岁人群）[13][15]。</w:t>
      </w:r>
    </w:p>
    <w:p>
      <w:pPr>
        <w:numPr>
          <w:ilvl w:val="-1"/>
          <w:numId w:val="2"/>
        </w:numPr>
        <w:spacing w:after="400" w:line="400" w:lineRule="atLeast"/>
      </w:pPr>
      <w:r>
        <w:rPr>
          <w:b w:val="true"/>
        </w:rPr>
        <w:t>抗氧化防御</w:t>
      </w:r>
      <w:r>
        <w:t>：硒蛋白高表达者中和抗体攻击产生的氧化应激，保护滤泡细胞[9][13]。</w:t>
      </w:r>
    </w:p>
    <w:p>
      <w:pPr>
        <w:spacing w:after="400" w:line="400" w:lineRule="atLeast"/>
      </w:pPr>
      <w:r>
        <w:rPr>
          <w:b/>
          <w:sz w:val="26"/>
        </w:rPr>
        <w:t xml:space="preserve">2. </w:t>
      </w:r>
      <w:r>
        <w:rPr>
          <w:b w:val="true"/>
          <w:sz w:val="26"/>
        </w:rPr>
        <w:t>抗体特性与致病性的异质性</w:t>
      </w:r>
    </w:p>
    <w:tbl>
      <w:tblP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>
      <w:tblGrid>
        <w:gridCol w:w="2765"/>
        <w:gridCol w:w="2765"/>
        <w:gridCol w:w="2765"/>
      </w:tblGrid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抗体类型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致病机制差异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临床关联性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TPOAb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 xml:space="preserve">直接抑制TPO酶活性 + 激活补体介导细胞溶解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与甲减进展强相关（OR=5.2）[1][2][14]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TgAb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形成免疫复合物沉积，间接放大炎症反应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单一阳性者进展风险低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双抗体阳性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协同破坏滤泡细胞及基底膜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年进展风险增加4倍[2][13]</w:t>
            </w:r>
          </w:p>
        </w:tc>
      </w:tr>
    </w:tbl>
    <w:p>
      <w:pPr>
        <w:pBdr>
          <w:left w:val="single" w:color="D0CECE" w:themeColor="background2" w:themeShade="E6" w:sz="12" w:space="4"/>
        </w:pBdr>
        <w:spacing w:before="400" w:after="400" w:line="400" w:lineRule="atLeast"/>
        <w:ind w:left="147" w:leftChars="70"/>
        <w:rPr>
          <w:color w:val="7F7F7F" w:themeColor="text1" w:themeTint="80"/>
        </w:rPr>
      </w:pPr>
      <w:r>
        <w:rPr>
          <w:b w:val="true"/>
          <w:color w:val="7F7F7F" w:themeColor="text1" w:themeTint="80"/>
        </w:rPr>
        <w:t>关键发现</w:t>
      </w:r>
      <w:r>
        <w:rPr>
          <w:color w:val="7F7F7F" w:themeColor="text1" w:themeTint="80"/>
        </w:rPr>
        <w:t>：仅</w:t>
      </w:r>
      <w:r>
        <w:rPr>
          <w:b w:val="true"/>
          <w:color w:val="7F7F7F" w:themeColor="text1" w:themeTint="80"/>
        </w:rPr>
        <w:t>补体激活型TPOAb</w:t>
      </w:r>
      <w:r>
        <w:rPr>
          <w:color w:val="7F7F7F" w:themeColor="text1" w:themeTint="80"/>
        </w:rPr>
        <w:t>（占阳性人群30%）直接导致细胞溶解，其余多为“旁观者”[13]。</w:t>
      </w:r>
    </w:p>
    <w:p>
      <w:pPr>
        <w:spacing w:after="400" w:line="400" w:lineRule="atLeast"/>
      </w:pPr>
      <w:r>
        <w:rPr>
          <w:b/>
          <w:sz w:val="26"/>
        </w:rPr>
        <w:t xml:space="preserve">3. </w:t>
      </w:r>
      <w:r>
        <w:rPr>
          <w:b w:val="true"/>
          <w:sz w:val="26"/>
        </w:rPr>
        <w:t>免疫微环境动态平衡</w:t>
      </w:r>
    </w:p>
    <w:p>
      <w:pPr>
        <w:numPr>
          <w:ilvl w:val="-1"/>
          <w:numId w:val="9"/>
        </w:numPr>
        <w:spacing w:after="400" w:line="400" w:lineRule="atLeast"/>
      </w:pPr>
      <w:r>
        <w:rPr>
          <w:b w:val="true"/>
        </w:rPr>
        <w:t>调节性T细胞（Treg）功能</w:t>
      </w:r>
      <w:r>
        <w:t>：Treg有效抑制自身免疫反应者，组织破坏缓慢[15]。</w:t>
      </w:r>
    </w:p>
    <w:p>
      <w:pPr>
        <w:numPr>
          <w:ilvl w:val="-1"/>
          <w:numId w:val="9"/>
        </w:numPr>
        <w:spacing w:after="400" w:line="400" w:lineRule="atLeast"/>
      </w:pPr>
      <w:r>
        <w:rPr>
          <w:b w:val="true"/>
        </w:rPr>
        <w:t>Th1/Th2偏移</w:t>
      </w:r>
      <w:r>
        <w:t>：</w:t>
      </w:r>
    </w:p>
    <w:p>
      <w:pPr>
        <w:numPr>
          <w:ilvl w:val="-1"/>
          <w:numId w:val="9"/>
        </w:numPr>
        <w:spacing w:after="400" w:line="400" w:lineRule="atLeast"/>
      </w:pPr>
      <w:r>
        <w:t xml:space="preserve">Th1主导（高IFN-γ）：激活巨噬细胞破坏滤泡 → 快速进展[13]。</w:t>
      </w:r>
    </w:p>
    <w:p>
      <w:pPr>
        <w:numPr>
          <w:ilvl w:val="-1"/>
          <w:numId w:val="9"/>
        </w:numPr>
        <w:spacing w:after="400" w:line="400" w:lineRule="atLeast"/>
      </w:pPr>
      <w:r>
        <w:t xml:space="preserve">Th2主导（高IL-4/IL-10）：促进抗体产生但组织损伤轻 → 功能长期稳定[15]。</w:t>
      </w:r>
    </w:p>
    <w:p>
      <w:pPr>
        <w:spacing w:after="400" w:line="400" w:lineRule="atLeast"/>
      </w:pPr>
      <w:r>
        <w:rPr>
          <w:b/>
          <w:sz w:val="30"/>
        </w:rPr>
        <w:t>二、为何部分患者长期功能正常？——五大保护因素</w:t>
      </w:r>
    </w:p>
    <w:p>
      <w:pPr>
        <w:spacing w:after="400" w:line="400" w:lineRule="atLeast"/>
      </w:pPr>
      <w:r>
        <w:rPr>
          <w:b/>
          <w:sz w:val="26"/>
        </w:rPr>
        <w:t xml:space="preserve">1. </w:t>
      </w:r>
      <w:r>
        <w:rPr>
          <w:b w:val="true"/>
          <w:sz w:val="26"/>
        </w:rPr>
        <w:t>代偿期延长机制</w:t>
      </w:r>
    </w:p>
    <w:p>
      <w:pPr>
        <w:numPr>
          <w:ilvl w:val="-1"/>
          <w:numId w:val="8"/>
        </w:numPr>
        <w:spacing w:after="400" w:line="400" w:lineRule="atLeast"/>
      </w:pPr>
      <w:r>
        <w:rPr>
          <w:b w:val="true"/>
        </w:rPr>
        <w:t>甲状腺体积&gt;25mL</w:t>
      </w:r>
      <w:r>
        <w:t>：储备功能强大，耐受持续免疫攻击[8][13]。</w:t>
      </w:r>
    </w:p>
    <w:p>
      <w:pPr>
        <w:numPr>
          <w:ilvl w:val="-1"/>
          <w:numId w:val="8"/>
        </w:numPr>
        <w:spacing w:after="400" w:line="400" w:lineRule="atLeast"/>
      </w:pPr>
      <w:r>
        <w:rPr>
          <w:b w:val="true"/>
        </w:rPr>
        <w:t>无纤维化证据</w:t>
      </w:r>
      <w:r>
        <w:t>：超声显示均匀回声提示活性滤泡充足[1][14]。</w:t>
      </w:r>
    </w:p>
    <w:p>
      <w:pPr>
        <w:spacing w:after="400" w:line="400" w:lineRule="atLeast"/>
      </w:pPr>
      <w:r>
        <w:rPr>
          <w:b/>
          <w:sz w:val="26"/>
        </w:rPr>
        <w:t xml:space="preserve">2. </w:t>
      </w:r>
      <w:r>
        <w:rPr>
          <w:b w:val="true"/>
          <w:sz w:val="26"/>
        </w:rPr>
        <w:t>抗体特性温和</w:t>
      </w:r>
    </w:p>
    <w:p>
      <w:pPr>
        <w:numPr>
          <w:ilvl w:val="-1"/>
          <w:numId w:val="12"/>
        </w:numPr>
        <w:spacing w:after="400" w:line="400" w:lineRule="atLeast"/>
      </w:pPr>
      <w:r>
        <w:t>低亲和力TPOAb：与TPO结合力弱，不触发补体激活[13]。</w:t>
      </w:r>
    </w:p>
    <w:p>
      <w:pPr>
        <w:numPr>
          <w:ilvl w:val="-1"/>
          <w:numId w:val="12"/>
        </w:numPr>
        <w:spacing w:after="400" w:line="400" w:lineRule="atLeast"/>
      </w:pPr>
      <w:r>
        <w:t xml:space="preserve">TgAb单阳性：仅10%进展为甲减（vs. TPOAb阳性者30%）[5][14]。</w:t>
      </w:r>
    </w:p>
    <w:p>
      <w:pPr>
        <w:spacing w:after="400" w:line="400" w:lineRule="atLeast"/>
      </w:pPr>
      <w:r>
        <w:rPr>
          <w:b/>
          <w:sz w:val="26"/>
        </w:rPr>
        <w:t xml:space="preserve">3. </w:t>
      </w:r>
      <w:r>
        <w:rPr>
          <w:b w:val="true"/>
          <w:sz w:val="26"/>
        </w:rPr>
        <w:t>环境因素缓冲</w:t>
      </w:r>
    </w:p>
    <w:p>
      <w:pPr>
        <w:numPr>
          <w:ilvl w:val="-1"/>
          <w:numId w:val="14"/>
        </w:numPr>
        <w:spacing w:after="400" w:line="400" w:lineRule="atLeast"/>
      </w:pPr>
      <w:r>
        <w:rPr>
          <w:b w:val="true"/>
        </w:rPr>
        <w:t>科学控碘</w:t>
      </w:r>
      <w:r>
        <w:t>：日摄碘量150-600μg延缓组织破坏[9][13]。</w:t>
      </w:r>
    </w:p>
    <w:p>
      <w:pPr>
        <w:numPr>
          <w:ilvl w:val="-1"/>
          <w:numId w:val="14"/>
        </w:numPr>
        <w:spacing w:after="400" w:line="400" w:lineRule="atLeast"/>
      </w:pPr>
      <w:r>
        <w:rPr>
          <w:b w:val="true"/>
        </w:rPr>
        <w:t>硒补充</w:t>
      </w:r>
      <w:r>
        <w:t>：维持脱碘酶活性，降低TPOAb滴度（200μg/日可降40%）[3][9]。</w:t>
      </w:r>
    </w:p>
    <w:p>
      <w:pPr>
        <w:pBdr>
          <w:left w:val="single" w:color="D0CECE" w:themeColor="background2" w:themeShade="E6" w:sz="12" w:space="4"/>
        </w:pBdr>
        <w:spacing w:after="400" w:line="400" w:lineRule="atLeast"/>
        <w:ind w:left="147" w:leftChars="70"/>
        <w:rPr>
          <w:color w:val="7F7F7F" w:themeColor="text1" w:themeTint="80"/>
        </w:rPr>
      </w:pPr>
      <w:r>
        <w:rPr>
          <w:b w:val="true"/>
          <w:color w:val="7F7F7F" w:themeColor="text1" w:themeTint="80"/>
        </w:rPr>
        <w:t>典型案例</w:t>
      </w:r>
      <w:r>
        <w:rPr>
          <w:color w:val="7F7F7F" w:themeColor="text1" w:themeTint="80"/>
        </w:rPr>
        <w:t>：黑人群体TPOAb阳性率仅4.5%（白人12.3%），且TSH更低，代偿能力更强[5]。</w:t>
      </w:r>
    </w:p>
    <w:p>
      <w:pPr>
        <w:spacing w:after="400" w:line="400" w:lineRule="atLeast"/>
      </w:pPr>
      <w:r>
        <w:rPr>
          <w:b/>
          <w:sz w:val="30"/>
        </w:rPr>
        <w:t>三、快速进展为甲减的危险因素——四类加速机制</w:t>
      </w:r>
    </w:p>
    <w:p>
      <w:pPr>
        <w:spacing w:after="400" w:line="400" w:lineRule="atLeast"/>
      </w:pPr>
      <w:r>
        <w:rPr>
          <w:b/>
          <w:sz w:val="26"/>
        </w:rPr>
        <w:t xml:space="preserve">1. </w:t>
      </w:r>
      <w:r>
        <w:rPr>
          <w:b w:val="true"/>
          <w:sz w:val="26"/>
        </w:rPr>
        <w:t>抗体高侵袭性</w:t>
      </w:r>
    </w:p>
    <w:p>
      <w:pPr>
        <w:numPr>
          <w:ilvl w:val="-1"/>
          <w:numId w:val="6"/>
        </w:numPr>
        <w:spacing w:after="400" w:line="400" w:lineRule="atLeast"/>
      </w:pPr>
      <w:r>
        <w:t xml:space="preserve">TPOAb&gt;500 IU/mL + TgAb&gt;300 IU/mL：年进展率达8-10%[2][13]。</w:t>
      </w:r>
    </w:p>
    <w:p>
      <w:pPr>
        <w:numPr>
          <w:ilvl w:val="-1"/>
          <w:numId w:val="6"/>
        </w:numPr>
        <w:spacing w:after="400" w:line="400" w:lineRule="atLeast"/>
      </w:pPr>
      <w:r>
        <w:rPr>
          <w:b w:val="true"/>
        </w:rPr>
        <w:t>补体激活型抗体</w:t>
      </w:r>
      <w:r>
        <w:t>：直接形成膜攻击复合物（MAC）溶解滤泡细胞[13]。</w:t>
      </w:r>
    </w:p>
    <w:p>
      <w:pPr>
        <w:spacing w:after="400" w:line="400" w:lineRule="atLeast"/>
      </w:pPr>
      <w:r>
        <w:rPr>
          <w:b/>
          <w:sz w:val="26"/>
        </w:rPr>
        <w:t xml:space="preserve">2. </w:t>
      </w:r>
      <w:r>
        <w:rPr>
          <w:b w:val="true"/>
          <w:sz w:val="26"/>
        </w:rPr>
        <w:t>甲状腺储备耗竭标志</w:t>
      </w:r>
    </w:p>
    <w:p>
      <w:pPr>
        <w:numPr>
          <w:ilvl w:val="-1"/>
          <w:numId w:val="3"/>
        </w:numPr>
        <w:spacing w:after="400" w:line="400" w:lineRule="atLeast"/>
      </w:pPr>
      <w:r>
        <w:rPr>
          <w:b w:val="true"/>
        </w:rPr>
        <w:t>超声提示“网格样低回声”</w:t>
      </w:r>
      <w:r>
        <w:t xml:space="preserve"> ：滤泡破坏&gt;50%[1][8]。</w:t>
      </w:r>
    </w:p>
    <w:p>
      <w:pPr>
        <w:numPr>
          <w:ilvl w:val="-1"/>
          <w:numId w:val="3"/>
        </w:numPr>
        <w:spacing w:after="400" w:line="400" w:lineRule="atLeast"/>
      </w:pPr>
      <w:r>
        <w:rPr>
          <w:b w:val="true"/>
        </w:rPr>
        <w:t>TSH进行性升高</w:t>
      </w:r>
      <w:r>
        <w:t>：TSH&gt;4mIU/L时5年内甲减风险70%[6][14]。</w:t>
      </w:r>
    </w:p>
    <w:p>
      <w:pPr>
        <w:spacing w:after="400" w:line="400" w:lineRule="atLeast"/>
      </w:pPr>
      <w:r>
        <w:rPr>
          <w:b/>
          <w:sz w:val="26"/>
        </w:rPr>
        <w:t xml:space="preserve">3. </w:t>
      </w:r>
      <w:r>
        <w:rPr>
          <w:b w:val="true"/>
          <w:sz w:val="26"/>
        </w:rPr>
        <w:t xml:space="preserve">触发事件（Trigger Events）</w:t>
      </w:r>
    </w:p>
    <w:tbl>
      <w:tblP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>
      <w:tblGrid>
        <w:gridCol w:w="2765"/>
        <w:gridCol w:w="2765"/>
        <w:gridCol w:w="2765"/>
      </w:tblGrid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事件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加速机制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甲减风险增幅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妊娠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免疫耐受打破，产后抗体反弹攻击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3倍[1][13]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高碘暴露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诱发Jod-Basedow效应，加速滤泡凋亡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2.5倍[9]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病毒感染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分子模拟交叉反应，扩大自身免疫损伤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2倍[13]</w:t>
            </w:r>
          </w:p>
        </w:tc>
      </w:tr>
    </w:tbl>
    <w:p>
      <w:pPr>
        <w:spacing w:before="400" w:after="400" w:line="400" w:lineRule="atLeast"/>
      </w:pPr>
      <w:r>
        <w:rPr>
          <w:b/>
          <w:sz w:val="26"/>
        </w:rPr>
        <w:t xml:space="preserve">4. </w:t>
      </w:r>
      <w:r>
        <w:rPr>
          <w:b w:val="true"/>
          <w:sz w:val="26"/>
        </w:rPr>
        <w:t>合并全身性疾病</w:t>
      </w:r>
    </w:p>
    <w:p>
      <w:pPr>
        <w:numPr>
          <w:ilvl w:val="-1"/>
          <w:numId w:val="11"/>
        </w:numPr>
        <w:spacing w:after="400" w:line="400" w:lineRule="atLeast"/>
      </w:pPr>
      <w:r>
        <w:rPr>
          <w:b w:val="true"/>
        </w:rPr>
        <w:t>肾功能不全</w:t>
      </w:r>
      <w:r>
        <w:t>：尿毒症毒素抑制T4向T3转化，加重代谢紊乱[3][11]。</w:t>
      </w:r>
    </w:p>
    <w:p>
      <w:pPr>
        <w:numPr>
          <w:ilvl w:val="-1"/>
          <w:numId w:val="11"/>
        </w:numPr>
        <w:spacing w:after="400" w:line="400" w:lineRule="atLeast"/>
      </w:pPr>
      <w:r>
        <w:rPr>
          <w:b w:val="true"/>
        </w:rPr>
        <w:t>自身免疫病</w:t>
      </w:r>
      <w:r>
        <w:t>：如类风湿关节炎（TNF-α升高协同破坏滤泡）[9][15]。</w:t>
      </w:r>
    </w:p>
    <w:p>
      <w:pPr>
        <w:spacing w:after="400" w:line="400" w:lineRule="atLeast"/>
      </w:pPr>
      <w:r>
        <w:rPr>
          <w:b/>
          <w:sz w:val="30"/>
        </w:rPr>
        <w:t>四、临床进程预测模型</w:t>
      </w:r>
    </w:p>
    <w:p>
      <w:pPr>
        <w:spacing w:after="400" w:line="400" w:lineRule="atLeast"/>
      </w:pPr>
      <w:r>
        <w:rPr>
          <w:b/>
          <w:sz w:val="26"/>
        </w:rPr>
        <w:t>基于风险分层的年进展率[2][6][13]</w:t>
      </w:r>
    </w:p>
    <w:tbl>
      <w:tblP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>
      <w:tblGrid>
        <w:gridCol w:w="2074"/>
        <w:gridCol w:w="2074"/>
        <w:gridCol w:w="2074"/>
        <w:gridCol w:w="2074"/>
      </w:tblGrid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风险等级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判定标准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年进展率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干预建议</w:t>
            </w:r>
          </w:p>
        </w:tc>
      </w:tr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低危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 xml:space="preserve">TPOAb&lt;200 IU/mL + TSH&lt;2.5mIU/L + 超声正常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&lt;2%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每2年复查</w:t>
            </w:r>
          </w:p>
        </w:tc>
      </w:tr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中危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 xml:space="preserve">TPOAb 200-500 IU/mL + 甲状腺肿大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4-6%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 xml:space="preserve">补硒 + 控碘</w:t>
            </w:r>
          </w:p>
        </w:tc>
      </w:tr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高危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 xml:space="preserve">TPOAb&gt;500 IU/mL或双阳性 + TSH&gt;4mIU/L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8-12%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左甲状腺素干预（TSH&gt;4时）</w:t>
            </w:r>
          </w:p>
        </w:tc>
      </w:tr>
    </w:tbl>
    <w:p>
      <w:pPr>
        <w:pBdr>
          <w:left w:val="single" w:color="D0CECE" w:themeColor="background2" w:themeShade="E6" w:sz="12" w:space="4"/>
        </w:pBdr>
        <w:spacing w:before="400" w:after="400" w:line="400" w:lineRule="atLeast"/>
        <w:ind w:left="147" w:leftChars="70"/>
        <w:rPr>
          <w:color w:val="7F7F7F" w:themeColor="text1" w:themeTint="80"/>
        </w:rPr>
      </w:pPr>
      <w:r>
        <w:rPr>
          <w:b w:val="true"/>
          <w:color w:val="7F7F7F" w:themeColor="text1" w:themeTint="80"/>
        </w:rPr>
        <w:t>注</w:t>
      </w:r>
      <w:r>
        <w:rPr>
          <w:color w:val="7F7F7F" w:themeColor="text1" w:themeTint="80"/>
        </w:rPr>
        <w:t>：5%的TPOAb阳性者终身不进展，与HLA-DR3等保护性基因相关[15]。</w:t>
      </w:r>
    </w:p>
    <w:p>
      <w:pPr>
        <w:spacing w:after="400" w:line="400" w:lineRule="atLeast"/>
      </w:pPr>
      <w:r>
        <w:rPr>
          <w:b/>
          <w:sz w:val="30"/>
        </w:rPr>
        <w:t>五、特殊争议：功能正常但存在甲减症状</w:t>
      </w:r>
    </w:p>
    <w:p>
      <w:pPr>
        <w:spacing w:after="400" w:line="400" w:lineRule="atLeast"/>
      </w:pPr>
      <w:r>
        <w:rPr>
          <w:b/>
          <w:sz w:val="26"/>
        </w:rPr>
        <w:t>机制：</w:t>
      </w:r>
      <w:r>
        <w:rPr>
          <w:b w:val="true"/>
          <w:sz w:val="26"/>
        </w:rPr>
        <w:t>外周激素转化障碍</w:t>
      </w:r>
      <w:r>
        <w:rPr>
          <w:b/>
          <w:sz w:val="26"/>
        </w:rPr>
        <w:t>[3][4][11]</w:t>
      </w:r>
    </w:p>
    <w:p>
      <w:pPr>
        <w:numPr>
          <w:ilvl w:val="0"/>
          <w:numId w:val="4"/>
        </w:numPr>
        <w:spacing w:after="400" w:line="400" w:lineRule="atLeast"/>
      </w:pPr>
      <w:r>
        <w:rPr>
          <w:b w:val="true"/>
        </w:rPr>
        <w:t>脱碘酶功能障碍</w:t>
      </w:r>
      <w:r>
        <w:t>：</w:t>
      </w:r>
    </w:p>
    <w:p>
      <w:pPr>
        <w:numPr>
          <w:ilvl w:val="0"/>
          <w:numId w:val="10"/>
        </w:numPr>
        <w:spacing w:after="400" w:line="400" w:lineRule="atLeast"/>
      </w:pPr>
      <w:r>
        <w:t xml:space="preserve">D1/D2酶活性下降 → T4向T3转化率↓ → 尽管TSH正常，但组织T3不足[3][11]。</w:t>
      </w:r>
    </w:p>
    <w:p>
      <w:pPr>
        <w:numPr>
          <w:ilvl w:val="0"/>
          <w:numId w:val="4"/>
        </w:numPr>
        <w:spacing w:after="400" w:line="400" w:lineRule="atLeast"/>
      </w:pPr>
      <w:r>
        <w:rPr>
          <w:b w:val="true"/>
        </w:rPr>
        <w:t>甲状腺激素抵抗</w:t>
      </w:r>
      <w:r>
        <w:t>：</w:t>
      </w:r>
    </w:p>
    <w:p>
      <w:pPr>
        <w:numPr>
          <w:ilvl w:val="0"/>
          <w:numId w:val="1"/>
        </w:numPr>
        <w:spacing w:after="400" w:line="400" w:lineRule="atLeast"/>
      </w:pPr>
      <w:r>
        <w:t xml:space="preserve">T3受体β突变（TRβ基因）→ 细胞核受体应答障碍[4]。</w:t>
      </w:r>
    </w:p>
    <w:p>
      <w:pPr>
        <w:pBdr>
          <w:left w:val="single" w:color="D0CECE" w:themeColor="background2" w:themeShade="E6" w:sz="12" w:space="4"/>
        </w:pBdr>
        <w:spacing w:after="400" w:line="400" w:lineRule="atLeast"/>
        <w:ind w:left="147" w:leftChars="70"/>
        <w:rPr>
          <w:color w:val="7F7F7F" w:themeColor="text1" w:themeTint="80"/>
        </w:rPr>
      </w:pPr>
      <w:r>
        <w:rPr>
          <w:b w:val="true"/>
          <w:color w:val="7F7F7F" w:themeColor="text1" w:themeTint="80"/>
        </w:rPr>
        <w:t>数据支持</w:t>
      </w:r>
      <w:r>
        <w:rPr>
          <w:color w:val="7F7F7F" w:themeColor="text1" w:themeTint="80"/>
        </w:rPr>
        <w:t>：此类患者FT3/FT4比值&lt;0.3（正常0.3-0.5）[3]。</w:t>
      </w:r>
    </w:p>
    <w:p>
      <w:pPr>
        <w:spacing w:after="400" w:line="400" w:lineRule="atLeast"/>
      </w:pPr>
      <w:r>
        <w:rPr>
          <w:b/>
          <w:sz w:val="30"/>
        </w:rPr>
        <w:t>六、临床管理建议</w:t>
      </w:r>
    </w:p>
    <w:p>
      <w:pPr>
        <w:numPr>
          <w:ilvl w:val="0"/>
          <w:numId w:val="7"/>
        </w:numPr>
        <w:spacing w:after="400" w:line="400" w:lineRule="atLeast"/>
      </w:pPr>
      <w:r>
        <w:rPr>
          <w:b w:val="true"/>
        </w:rPr>
        <w:t>筛查策略</w:t>
      </w:r>
      <w:r>
        <w:t>[1][2][6]：</w:t>
      </w:r>
    </w:p>
    <w:p>
      <w:pPr>
        <w:numPr>
          <w:ilvl w:val="0"/>
          <w:numId w:val="13"/>
        </w:numPr>
        <w:spacing w:after="400" w:line="400" w:lineRule="atLeast"/>
      </w:pPr>
      <w:r>
        <w:t xml:space="preserve">抗体阳性者：每6个月查TSH + FT3/FT4 + 甲状腺超声（评估储备）。</w:t>
      </w:r>
    </w:p>
    <w:p>
      <w:pPr>
        <w:numPr>
          <w:ilvl w:val="0"/>
          <w:numId w:val="13"/>
        </w:numPr>
        <w:spacing w:after="400" w:line="400" w:lineRule="atLeast"/>
      </w:pPr>
      <w:r>
        <w:t>高危人群（妊娠/高碘暴露后）：每3个月复查。</w:t>
      </w:r>
    </w:p>
    <w:p>
      <w:pPr>
        <w:numPr>
          <w:ilvl w:val="0"/>
          <w:numId w:val="7"/>
        </w:numPr>
        <w:spacing w:after="400" w:line="400" w:lineRule="atLeast"/>
      </w:pPr>
      <w:r>
        <w:rPr>
          <w:b w:val="true"/>
        </w:rPr>
        <w:t>干预时机</w:t>
      </w:r>
      <w:r>
        <w:t>：</w:t>
      </w:r>
    </w:p>
    <w:p>
      <w:pPr>
        <w:numPr>
          <w:ilvl w:val="0"/>
          <w:numId w:val="5"/>
        </w:numPr>
        <w:spacing w:after="400" w:line="400" w:lineRule="atLeast"/>
      </w:pPr>
      <w:r>
        <w:t>TSH&gt;4mIU/L或出现甲减症状：启动左甲状腺素（即使FT4正常）[6][14]。</w:t>
      </w:r>
    </w:p>
    <w:p>
      <w:pPr>
        <w:numPr>
          <w:ilvl w:val="0"/>
          <w:numId w:val="5"/>
        </w:numPr>
        <w:spacing w:after="400" w:line="400" w:lineRule="atLeast"/>
      </w:pPr>
      <w:r>
        <w:t xml:space="preserve">TPOAb&gt;500 IU/mL：补硒（200μg/日）延缓进展[9][13]。</w:t>
      </w:r>
    </w:p>
    <w:p>
      <w:pPr>
        <w:pBdr>
          <w:left w:val="single" w:color="D0CECE" w:themeColor="background2" w:themeShade="E6" w:sz="12" w:space="4"/>
        </w:pBdr>
        <w:spacing w:after="400" w:line="400" w:lineRule="atLeast"/>
        <w:ind w:left="147" w:leftChars="70"/>
        <w:rPr>
          <w:color w:val="7F7F7F" w:themeColor="text1" w:themeTint="80"/>
        </w:rPr>
      </w:pPr>
      <w:r>
        <w:rPr>
          <w:b w:val="true"/>
          <w:color w:val="7F7F7F" w:themeColor="text1" w:themeTint="80"/>
        </w:rPr>
        <w:t>警示</w:t>
      </w:r>
      <w:r>
        <w:rPr>
          <w:color w:val="7F7F7F" w:themeColor="text1" w:themeTint="80"/>
        </w:rPr>
        <w:t>：快速进展者需排查合并症（如肾病、脂肪肝），其通过炎症因子加速纤维化[9]。</w:t>
      </w:r>
    </w:p>
    <w:p>
      <w:pPr>
        <w:spacing w:after="400" w:line="400" w:lineRule="atLeast"/>
      </w:pPr>
      <w:r>
        <w:rPr>
          <w:b/>
          <w:sz w:val="30"/>
        </w:rPr>
        <w:t>结语</w:t>
      </w:r>
    </w:p>
    <w:p>
      <w:pPr>
        <w:spacing w:after="400" w:line="400" w:lineRule="atLeast"/>
      </w:pPr>
      <w:r>
        <w:t>抗体阳性者的甲状腺功能结局取决于**“破坏力”（抗体滴度/亚型+免疫攻击强度）与“防御力”（代偿储备+修复能力）的平衡**。识别高危标志（如双抗体阳性、TSH进行性升高、超声低回声）可实现早期干预，避免不可逆甲减。未来需探索TPOAb亚型检测及脱碘酶基因分型，推动精准管理。</w:t>
      </w:r>
    </w:p>
    <w:p>
      <w:pPr>
        <w:pBdr>
          <w:left w:val="single" w:color="D0CECE" w:themeColor="background2" w:themeShade="E6" w:sz="12" w:space="4"/>
        </w:pBdr>
        <w:spacing w:after="400" w:line="400" w:lineRule="atLeast"/>
        <w:ind w:left="147" w:leftChars="7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权威声明：所有TPOAb&gt;500 IU/mL者无论甲功状态，均应视为甲状腺衰竭高风险人群（2024年ETA指南）[2][14]。</w:t>
      </w:r>
    </w:p>
    <w:p>
      <w:pPr>
        <w:pStyle w:val="Heading2"/>
        <w:spacing w:after="400" w:line="400" w:lineRule="atLeast"/>
      </w:pPr>
      <w:r>
        <w:t>相关事件</w:t>
      </w:r>
    </w:p>
    <w:tbl>
      <w:tblP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>
      <w:tblGrid>
        <w:gridCol w:w="2074"/>
        <w:gridCol w:w="2074"/>
        <w:gridCol w:w="2074"/>
        <w:gridCol w:w="2074"/>
      </w:tblGrid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事件名称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事件时间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事件概述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类型</w:t>
            </w:r>
          </w:p>
        </w:tc>
      </w:tr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甲减的治疗标准及效果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2012-12-28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甲减通过早期诊断和左甲状腺素钠替代治疗，可使患者甲状腺功能完全恢复正常，但部分患者可能因未及时就诊或擅自停药导致严重并发症。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医疗健康</w:t>
            </w:r>
          </w:p>
        </w:tc>
      </w:tr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甲减的长期影响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2012-12-28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未及时就诊或擅自停药的甲减患者可能会引发粘液性水肿、心血管疾病等严重并发症，对健康造成威胁。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医疗健康</w:t>
            </w:r>
          </w:p>
        </w:tc>
      </w:tr>
    </w:tbl>
    <w:p>
      <w:pPr>
        <w:pStyle w:val="Heading2"/>
        <w:spacing w:before="400" w:after="400" w:line="400" w:lineRule="atLeast"/>
      </w:pPr>
      <w:r>
        <w:t>相关组织</w:t>
      </w:r>
    </w:p>
    <w:tbl>
      <w:tblP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>
      <w:tblGrid>
        <w:gridCol w:w="2765"/>
        <w:gridCol w:w="2765"/>
        <w:gridCol w:w="2765"/>
      </w:tblGrid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组织名称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概述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类型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甲状腺研究中心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专注于甲状腺疾病研究的机构。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医疗/健康研究</w:t>
            </w:r>
          </w:p>
        </w:tc>
      </w:tr>
    </w:tbl>
    <w:p>
      <w:pPr>
        <w:pStyle w:val="Heading2"/>
        <w:spacing w:before="400" w:after="400" w:line="400" w:lineRule="atLeast"/>
      </w:pPr>
      <w:r>
        <w:t>相关人物</w:t>
      </w:r>
    </w:p>
    <w:tbl>
      <w:tblP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>
      <w:tblGrid>
        <w:gridCol w:w="2765"/>
        <w:gridCol w:w="2765"/>
        <w:gridCol w:w="2765"/>
      </w:tblGrid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人物名称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概述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类型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刘青松医生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在甲状腺研究中心工作，对甲状腺功能异常有深入研究。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医疗专家</w:t>
            </w:r>
          </w:p>
        </w:tc>
      </w:tr>
    </w:tbl>
    <w:p>
      <w:pPr>
        <w:pStyle w:val="Heading2"/>
        <w:spacing w:before="400" w:after="400" w:line="400" w:lineRule="atLeast"/>
      </w:pPr>
      <w:r>
        <w:t>参考资料</w:t>
      </w:r>
    </w:p>
    <w:p>
      <w:pPr>
        <w:spacing w:after="200" w:line="400" w:lineRule="atLeast"/>
      </w:pPr>
      <w:hyperlink r:id="rId4">
        <w:r>
          <w:rPr>
            <w:rStyle w:val="DefaultParagraphFont"/>
            <w:color w:val="0563C1"/>
          </w:rPr>
          <w:t xml:space="preserve">1. 甲状腺抗体阳性，为什么甲状腺功能却是正常的？ [2022-04-27]</w:t>
        </w:r>
      </w:hyperlink>
    </w:p>
    <w:p>
      <w:pPr>
        <w:spacing w:after="200" w:line="400" w:lineRule="atLeast"/>
      </w:pPr>
      <w:hyperlink r:id="rId5">
        <w:r>
          <w:rPr>
            <w:rStyle w:val="DefaultParagraphFont"/>
            <w:color w:val="0563C1"/>
          </w:rPr>
          <w:t xml:space="preserve">2. 关注甲状腺疾病早筛早诊 [2024-04-25]</w:t>
        </w:r>
      </w:hyperlink>
    </w:p>
    <w:p>
      <w:pPr>
        <w:spacing w:after="200" w:line="400" w:lineRule="atLeast"/>
      </w:pPr>
      <w:hyperlink r:id="rId6">
        <w:r>
          <w:rPr>
            <w:rStyle w:val="DefaultParagraphFont"/>
            <w:color w:val="0563C1"/>
          </w:rPr>
          <w:t xml:space="preserve">3. 甲状腺功能正常,为什么还有甲减症状 [2021-10-19]</w:t>
        </w:r>
      </w:hyperlink>
    </w:p>
    <w:p>
      <w:pPr>
        <w:spacing w:after="200" w:line="400" w:lineRule="atLeast"/>
      </w:pPr>
      <w:hyperlink r:id="rId7">
        <w:r>
          <w:rPr>
            <w:rStyle w:val="DefaultParagraphFont"/>
            <w:color w:val="0563C1"/>
          </w:rPr>
          <w:t xml:space="preserve">4. 甲状腺功能正常，为什么还会有甲减症状？ [2020-12-17]</w:t>
        </w:r>
      </w:hyperlink>
    </w:p>
    <w:p>
      <w:pPr>
        <w:spacing w:after="200" w:line="400" w:lineRule="atLeast"/>
      </w:pPr>
      <w:hyperlink r:id="rId8">
        <w:r>
          <w:rPr>
            <w:rStyle w:val="DefaultParagraphFont"/>
            <w:color w:val="0563C1"/>
          </w:rPr>
          <w:t xml:space="preserve">5. J. Hollowell, N. Staehling et al. “Serum TSH, T(4), and thyroid antibodies in the United States population (1988 to 1994): National Health and Nutrition Examination Survey (NHANES III)..” The Journal of clinical endocrinology and metabolism</w:t>
        </w:r>
      </w:hyperlink>
    </w:p>
    <w:p>
      <w:pPr>
        <w:spacing w:after="200" w:line="400" w:lineRule="atLeast"/>
      </w:pPr>
      <w:hyperlink r:id="rId9">
        <w:r>
          <w:rPr>
            <w:rStyle w:val="DefaultParagraphFont"/>
            <w:color w:val="0563C1"/>
          </w:rPr>
          <w:t xml:space="preserve">6. G. Canaris, Neil R. Manowitz et al. “The Colorado thyroid disease prevalence study..” Archives of internal medicine</w:t>
        </w:r>
      </w:hyperlink>
    </w:p>
    <w:p>
      <w:pPr>
        <w:spacing w:after="200" w:line="400" w:lineRule="atLeast"/>
      </w:pPr>
      <w:hyperlink r:id="rId10">
        <w:r>
          <w:rPr>
            <w:rStyle w:val="DefaultParagraphFont"/>
            <w:color w:val="0563C1"/>
          </w:rPr>
          <w:t xml:space="preserve">7. 甲状腺功能正常，为什么甲减症状还会有？ [2021-01-01]</w:t>
        </w:r>
      </w:hyperlink>
    </w:p>
    <w:p>
      <w:pPr>
        <w:spacing w:after="200" w:line="400" w:lineRule="atLeast"/>
      </w:pPr>
      <w:hyperlink r:id="rId11">
        <w:r>
          <w:rPr>
            <w:rStyle w:val="DefaultParagraphFont"/>
            <w:color w:val="0563C1"/>
          </w:rPr>
          <w:t xml:space="preserve">8. 记一例揪心的甲减案例：TSH＞检测上限，FT3、FT4却正常... [2024-02-03]</w:t>
        </w:r>
      </w:hyperlink>
    </w:p>
    <w:p>
      <w:pPr>
        <w:spacing w:after="200" w:line="400" w:lineRule="atLeast"/>
      </w:pPr>
      <w:hyperlink r:id="rId12">
        <w:r>
          <w:rPr>
            <w:rStyle w:val="DefaultParagraphFont"/>
            <w:color w:val="0563C1"/>
          </w:rPr>
          <w:t xml:space="preserve">9. 甲减治疗不及时，全身系统都出问题！ [2024-06-13]</w:t>
        </w:r>
      </w:hyperlink>
    </w:p>
    <w:p>
      <w:pPr>
        <w:spacing w:after="200" w:line="400" w:lineRule="atLeast"/>
      </w:pPr>
      <w:hyperlink r:id="rId13">
        <w:r>
          <w:rPr>
            <w:rStyle w:val="DefaultParagraphFont"/>
            <w:color w:val="0563C1"/>
          </w:rPr>
          <w:t xml:space="preserve">10. 不同人群甲减的治疗标准不同 [2012-12-28]</w:t>
        </w:r>
      </w:hyperlink>
    </w:p>
    <w:p>
      <w:pPr>
        <w:spacing w:after="200" w:line="400" w:lineRule="atLeast"/>
      </w:pPr>
      <w:hyperlink r:id="rId14">
        <w:r>
          <w:rPr>
            <w:rStyle w:val="DefaultParagraphFont"/>
            <w:color w:val="0563C1"/>
          </w:rPr>
          <w:t xml:space="preserve">11. 有一种甲状腺功能异常，叫做「低 T3 综合征」 [2021-01-01]</w:t>
        </w:r>
      </w:hyperlink>
    </w:p>
    <w:p>
      <w:pPr>
        <w:spacing w:after="200" w:line="400" w:lineRule="atLeast"/>
      </w:pPr>
      <w:hyperlink r:id="rId15">
        <w:r>
          <w:rPr>
            <w:rStyle w:val="DefaultParagraphFont"/>
            <w:color w:val="0563C1"/>
          </w:rPr>
          <w:t xml:space="preserve">12. 教你 4 步解读非典型性甲功结果 [2023-03-10]</w:t>
        </w:r>
      </w:hyperlink>
    </w:p>
    <w:p>
      <w:pPr>
        <w:spacing w:after="200" w:line="400" w:lineRule="atLeast"/>
      </w:pPr>
      <w:hyperlink r:id="rId16">
        <w:r>
          <w:rPr>
            <w:rStyle w:val="DefaultParagraphFont"/>
            <w:color w:val="0563C1"/>
          </w:rPr>
          <w:t xml:space="preserve">13. 甲状腺抗体两项很高怎么回事？怎么治疗降下来？ [2023-04-12]</w:t>
        </w:r>
      </w:hyperlink>
    </w:p>
    <w:p>
      <w:pPr>
        <w:spacing w:after="200" w:line="400" w:lineRule="atLeast"/>
      </w:pPr>
      <w:hyperlink r:id="rId17">
        <w:r>
          <w:rPr>
            <w:rStyle w:val="DefaultParagraphFont"/>
            <w:color w:val="0563C1"/>
          </w:rPr>
          <w:t xml:space="preserve">14. 甲状腺功能检测结果解读，从此入门… [2019]</w:t>
        </w:r>
      </w:hyperlink>
    </w:p>
    <w:p>
      <w:pPr>
        <w:spacing w:after="200" w:line="400" w:lineRule="atLeast"/>
      </w:pPr>
      <w:hyperlink r:id="rId18">
        <w:r>
          <w:rPr>
            <w:rStyle w:val="DefaultParagraphFont"/>
            <w:color w:val="0563C1"/>
          </w:rPr>
          <w:t xml:space="preserve">15. 甲状腺突然功能异常了 [2018-08-10]</w:t>
        </w:r>
      </w:hyperlink>
    </w:p>
    <w:sectPr>
      <w:headerReference w:type="default" r:id="rId19"/>
      <w:footerReference w:type="default" r:id="rId20"/>
      <w:pgSz w:w="11906" w:h="16838"/>
      <w:pgMar w:top="1440" w:right="1800" w:bottom="1440" w:left="1800" w:header="851" w:footer="992"/>
      <w:cols w:space="425"/>
      <w:docGrid w:type="lines" w:linePitch="312"/>
    </w:sectPr>
  </w:body>
</w:document>
</file>

<file path=word/footer.xml><?xml version="1.0" encoding="utf-8"?>
<w:ftr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rPr>
        <w:rFonts/>
        <w:color w:val="808080"/>
        <w:sz w:val="18"/>
      </w:rPr>
      <w:t>内容为AI生成，可能不准确，请谨慎参考</w:t>
    </w:r>
  </w:p>
</w:ftr>
</file>

<file path=word/header.xml><?xml version="1.0" encoding="utf-8"?>
<w:hdr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pPr>
      <w:jc w:val="right"/>
    </w:pPr>
    <w:r>
      <w:drawing>
        <wp:inline distT="0" distB="0" distL="0" distR="0">
          <wp:extent cx="1336798" cy="320832"/>
          <wp:effectExtent l="0" t="0" r="0" b="0"/>
          <wp:docPr id="2353" name="image" descr="image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4706" name="imag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71875" cy="857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0">
    <w:multiLevelType w:val="multilevel"/>
    <w:lvl w:ilvl="0">
      <w:start w:val="1"/>
      <w:numFmt w:val="bullet"/>
      <w:suff w:val="nothing"/>
      <w:lvlText w:val=""/>
      <w:rPr>
        <w:rFonts w:hint="default" w:ascii="Wingdings" w:hAnsi="Wingdings"/>
      </w:rPr>
    </w:lvl>
    <w:lvl w:ilvl="1">
      <w:start w:val="1"/>
      <w:numFmt w:val="bullet"/>
      <w:suff w:val="nothing"/>
      <w:lvlText w:val=""/>
      <w:pPr>
        <w:ind w:left="210"/>
      </w:pPr>
      <w:rPr>
        <w:rFonts w:hint="default" w:ascii="Wingdings" w:hAnsi="Wingdings"/>
      </w:rPr>
    </w:lvl>
    <w:lvl w:ilvl="2">
      <w:start w:val="1"/>
      <w:numFmt w:val="bullet"/>
      <w:suff w:val="nothing"/>
      <w:lvlText w:val=""/>
      <w:pPr>
        <w:ind w:left="420"/>
      </w:pPr>
      <w:rPr>
        <w:rFonts w:hint="default" w:ascii="Wingdings" w:hAnsi="Wingdings"/>
      </w:rPr>
    </w:lvl>
    <w:lvl w:ilvl="3">
      <w:start w:val="1"/>
      <w:numFmt w:val="bullet"/>
      <w:suff w:val="nothing"/>
      <w:lvlText w:val=""/>
      <w:pPr>
        <w:ind w:left="630"/>
      </w:pPr>
      <w:rPr>
        <w:rFonts w:hint="default" w:ascii="Wingdings" w:hAnsi="Wingdings"/>
      </w:rPr>
    </w:lvl>
    <w:lvl w:ilvl="4">
      <w:start w:val="1"/>
      <w:numFmt w:val="bullet"/>
      <w:suff w:val="nothing"/>
      <w:lvlText w:val=""/>
      <w:pPr>
        <w:ind w:left="840"/>
      </w:pPr>
      <w:rPr>
        <w:rFonts w:hint="default" w:ascii="Wingdings" w:hAnsi="Wingdings"/>
      </w:rPr>
    </w:lvl>
    <w:lvl w:ilvl="5">
      <w:start w:val="1"/>
      <w:numFmt w:val="bullet"/>
      <w:suff w:val="nothing"/>
      <w:lvlText w:val=""/>
      <w:pPr>
        <w:ind w:left="1050"/>
      </w:pPr>
      <w:rPr>
        <w:rFonts w:hint="default" w:ascii="Wingdings" w:hAnsi="Wingdings"/>
      </w:rPr>
    </w:lvl>
    <w:lvl w:ilvl="6">
      <w:start w:val="1"/>
      <w:numFmt w:val="bullet"/>
      <w:suff w:val="nothing"/>
      <w:lvlText w:val=""/>
      <w:pPr>
        <w:ind w:left="1260"/>
      </w:pPr>
      <w:rPr>
        <w:rFonts w:hint="default" w:ascii="Wingdings" w:hAnsi="Wingdings"/>
      </w:rPr>
    </w:lvl>
    <w:lvl w:ilvl="7">
      <w:start w:val="1"/>
      <w:numFmt w:val="bullet"/>
      <w:suff w:val="nothing"/>
      <w:lvlText w:val=""/>
      <w:pPr>
        <w:ind w:left="1470"/>
      </w:pPr>
      <w:rPr>
        <w:rFonts w:hint="default" w:ascii="Wingdings" w:hAnsi="Wingdings"/>
      </w:rPr>
    </w:lvl>
    <w:lvl w:ilvl="8">
      <w:start w:val="1"/>
      <w:numFmt w:val="bullet"/>
      <w:suff w:val="nothing"/>
      <w:lvlText w:val=""/>
      <w:pPr>
        <w:ind w:left="1680"/>
      </w:pPr>
      <w:rPr>
        <w:rFonts w:hint="default" w:ascii="Wingdings" w:hAnsi="Wingdings"/>
      </w:rPr>
    </w:lvl>
  </w:abstractNum>
  <w:abstractNum w:abstractNumId="1">
    <w:multiLevelType w:val="multilevel"/>
    <w:lvl w:ilvl="0">
      <w:start w:val="1"/>
      <w:numFmt w:val="decimal"/>
      <w:suff w:val="nothing"/>
      <w:lvlText w:val="%1."/>
    </w:lvl>
    <w:lvl w:ilvl="1">
      <w:start w:val="1"/>
      <w:numFmt w:val="decimal"/>
      <w:suff w:val="nothing"/>
      <w:lvlText w:val="%1.%2."/>
    </w:lvl>
    <w:lvl w:ilvl="2">
      <w:start w:val="1"/>
      <w:numFmt w:val="decimal"/>
      <w:suff w:val="nothing"/>
      <w:lvlText w:val="%1.%2.%3."/>
    </w:lvl>
    <w:lvl w:ilvl="3">
      <w:start w:val="1"/>
      <w:numFmt w:val="decimal"/>
      <w:suff w:val="nothing"/>
      <w:lvlText w:val="%1.%2.%3.%4."/>
    </w:lvl>
    <w:lvl w:ilvl="4">
      <w:start w:val="1"/>
      <w:numFmt w:val="decimal"/>
      <w:suff w:val="nothing"/>
      <w:lvlText w:val="%1.%2.%3.%4.%5."/>
    </w:lvl>
    <w:lvl w:ilvl="5">
      <w:start w:val="1"/>
      <w:numFmt w:val="decimal"/>
      <w:suff w:val="nothing"/>
      <w:lvlText w:val="%1.%2.%3.%4.%5.%6."/>
    </w:lvl>
    <w:lvl w:ilvl="6">
      <w:start w:val="1"/>
      <w:numFmt w:val="decimal"/>
      <w:suff w:val="nothing"/>
      <w:lvlText w:val="%1.%2.%3.%4.%5.%6.%7."/>
    </w:lvl>
    <w:lvl w:ilvl="7">
      <w:start w:val="1"/>
      <w:numFmt w:val="decimal"/>
      <w:suff w:val="nothing"/>
      <w:lvlText w:val="%1.%2.%3.%4.%5.%6.%7.%8."/>
    </w:lvl>
    <w:lvl w:ilvl="8">
      <w:start w:val="1"/>
      <w:numFmt w:val="decimal"/>
      <w:suff w:val="nothing"/>
      <w:lvlText w:val="%1.%2.%3.%4.%5.%6.%7.%8.%9."/>
    </w:lvl>
  </w:abstractNum>
  <w:abstractNum w:abstractNumId="2">
    <w:multiLevelType w:val="multilevel"/>
    <w:lvl w:ilvl="0">
      <w:start w:val="1"/>
      <w:numFmt w:val="decimal"/>
      <w:suff w:val="nothing"/>
      <w:lvlText w:val="%1."/>
    </w:lvl>
    <w:lvl w:ilvl="1">
      <w:start w:val="1"/>
      <w:numFmt w:val="decimal"/>
      <w:suff w:val="nothing"/>
      <w:lvlText w:val="%1.%2."/>
    </w:lvl>
    <w:lvl w:ilvl="2">
      <w:start w:val="1"/>
      <w:numFmt w:val="decimal"/>
      <w:suff w:val="nothing"/>
      <w:lvlText w:val="%1.%2.%3."/>
    </w:lvl>
    <w:lvl w:ilvl="3">
      <w:start w:val="1"/>
      <w:numFmt w:val="decimal"/>
      <w:suff w:val="nothing"/>
      <w:lvlText w:val="%1.%2.%3.%4."/>
    </w:lvl>
    <w:lvl w:ilvl="4">
      <w:start w:val="1"/>
      <w:numFmt w:val="decimal"/>
      <w:suff w:val="nothing"/>
      <w:lvlText w:val="%1.%2.%3.%4.%5."/>
    </w:lvl>
    <w:lvl w:ilvl="5">
      <w:start w:val="1"/>
      <w:numFmt w:val="decimal"/>
      <w:suff w:val="nothing"/>
      <w:lvlText w:val="%1.%2.%3.%4.%5.%6."/>
    </w:lvl>
    <w:lvl w:ilvl="6">
      <w:start w:val="1"/>
      <w:numFmt w:val="decimal"/>
      <w:suff w:val="nothing"/>
      <w:lvlText w:val="%1.%2.%3.%4.%5.%6.%7."/>
    </w:lvl>
    <w:lvl w:ilvl="7">
      <w:start w:val="1"/>
      <w:numFmt w:val="decimal"/>
      <w:suff w:val="nothing"/>
      <w:lvlText w:val="%1.%2.%3.%4.%5.%6.%7.%8."/>
    </w:lvl>
    <w:lvl w:ilvl="8">
      <w:start w:val="1"/>
      <w:numFmt w:val="decimal"/>
      <w:suff w:val="nothing"/>
      <w:lvlText w:val="%1.%2.%3.%4.%5.%6.%7.%8.%9."/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0"/>
  </w:num>
  <w:num w:numId="6">
    <w:abstractNumId w:val="0"/>
  </w:num>
  <w:num w:numId="7">
    <w:abstractNumId w:val="1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sz w:val="21"/>
      </w:rPr>
    </w:r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mp.weixin.qq.com/s?__biz=Mzg5MDY1NDgzNA%3D%3D&amp;mid=2247484678&amp;idx=2&amp;sn=409f384056f89ac0c5f211203909b12a&amp;chksm=cfd81c1bf8af950de9f935239449ef95e000788594e0ce4adbbf4e912d1067a88d3302eb429e&amp;scene=27" Type="http://schemas.openxmlformats.org/officeDocument/2006/relationships/hyperlink" Id="rId4"/>
    <Relationship TargetMode="External" Target="http://finance.sina.com.cn/stock/med/2024-04-25/doc-inasztrs9918374.shtml" Type="http://schemas.openxmlformats.org/officeDocument/2006/relationships/hyperlink" Id="rId5"/>
    <Relationship TargetMode="External" Target="http://disease.39.net/njjkyy/211020/9581770.html" Type="http://schemas.openxmlformats.org/officeDocument/2006/relationships/hyperlink" Id="rId6"/>
    <Relationship TargetMode="External" Target="https://overseas.weibo.com/learn/4583046797341627" Type="http://schemas.openxmlformats.org/officeDocument/2006/relationships/hyperlink" Id="rId7"/>
    <Relationship TargetMode="External" Target="https://doi.org/10.1210/JCEM.87.2.8182" Type="http://schemas.openxmlformats.org/officeDocument/2006/relationships/hyperlink" Id="rId8"/>
    <Relationship TargetMode="External" Target="https://doi.org/10.1001/ARCHINTE.160.4.526" Type="http://schemas.openxmlformats.org/officeDocument/2006/relationships/hyperlink" Id="rId9"/>
    <Relationship TargetMode="External" Target="https://mp.weixin.qq.com/s?__biz=MjM5NTY5MjkyMg%3D%3D&amp;mid=2683415141&amp;idx=1&amp;sn=3e3a8b7c36de1e3fb1c23f55ebdd4372&amp;chksm=bcf1a2708b862b66067a8e07bf6c1e60f21cc504234caa9ddad9452030fa011e4f07919280a2&amp;scene=27" Type="http://schemas.openxmlformats.org/officeDocument/2006/relationships/hyperlink" Id="rId10"/>
    <Relationship TargetMode="External" Target="https://mp.weixin.qq.com/s?__biz=MjM5MzQ5NzcxMA%3D%3D&amp;mid=2655594479&amp;idx=2&amp;sn=433488a2e73302193968c9a4771eb3e3&amp;chksm=bc7d87d621111be107f2776476013af089e9e4961f1bd7cea29c411fb578e62bee934d2c45f6&amp;scene=27" Type="http://schemas.openxmlformats.org/officeDocument/2006/relationships/hyperlink" Id="rId11"/>
    <Relationship TargetMode="External" Target="https://mp.weixin.qq.com/s?__biz=MzU1NTgyMjM2MQ%3D%3D&amp;mid=2247507890&amp;idx=3&amp;sn=f72779535f8cd3d626aa5fda7945d863&amp;chksm=fa6ad41fe2cd153bacaa068481ae3421505b657800ed43824f378e1b3744f84ee2e3bc817dfb&amp;scene=27" Type="http://schemas.openxmlformats.org/officeDocument/2006/relationships/hyperlink" Id="rId12"/>
    <Relationship TargetMode="External" Target="https://www.fh21.com.cn/neike/jj/jjzl/357915_all.html" Type="http://schemas.openxmlformats.org/officeDocument/2006/relationships/hyperlink" Id="rId13"/>
    <Relationship TargetMode="External" Target="https://mp.weixin.qq.com/s?__biz=MjM5NDA1ODEzOA%3D%3D&amp;mid=2650322617&amp;idx=1&amp;sn=5ff8332e821133e679b6b82aed22c493&amp;chksm=be818c4c89f6055a799757e1d72b9ca16e7052dc11fe234459a01d44f612dae2a7ca37d28de7&amp;scene=27" Type="http://schemas.openxmlformats.org/officeDocument/2006/relationships/hyperlink" Id="rId14"/>
    <Relationship TargetMode="External" Target="https://mp.weixin.qq.com/s?__biz=MzA5ODk1NjQwMg%3D%3D&amp;mid=2656096991&amp;idx=2&amp;sn=d467c387a53fb994eb6c46beeff3c824&amp;chksm=8b2dd7c2bc5a5ed478975f38b15fd5f97863d3feac135f56d9c758c8c0c4303c0ae496ed89d3&amp;scene=27" Type="http://schemas.openxmlformats.org/officeDocument/2006/relationships/hyperlink" Id="rId15"/>
    <Relationship TargetMode="External" Target="https://mp.weixin.qq.com/s?__biz=MzIzODA3NDQ1Mg%3D%3D&amp;mid=2654189764&amp;idx=1&amp;sn=10d0671dc5f5600e204bd188151f50ef&amp;chksm=f2f9f7ffc58e7ee9439bd1085ea58c1cedb584f75ff6f67301cd760e11437cbef126004272f3&amp;scene=27" Type="http://schemas.openxmlformats.org/officeDocument/2006/relationships/hyperlink" Id="rId16"/>
    <Relationship TargetMode="External" Target="https://mp.weixin.qq.com/s?__biz=Mzg5MDY1NDgzNA%3D%3D&amp;mid=2247484227&amp;idx=2&amp;sn=1b0fb92257e3ba405975fbf99cc584ec&amp;chksm=cfd81a5ef8af9348a0ba1a17c7668fd499de0301b4e3e0331f7dfdb06382f6b48da27983d5c4&amp;scene=27" Type="http://schemas.openxmlformats.org/officeDocument/2006/relationships/hyperlink" Id="rId17"/>
    <Relationship TargetMode="External" Target="https://www.mingyihui.net/article_3282707.html" Type="http://schemas.openxmlformats.org/officeDocument/2006/relationships/hyperlink" Id="rId18"/>
    <Relationship Target="header.xml" Type="http://schemas.openxmlformats.org/officeDocument/2006/relationships/header" Id="rId19"/>
    <Relationship Target="footer.xml" Type="http://schemas.openxmlformats.org/officeDocument/2006/relationships/footer" Id="rId20"/>
</Relationships>

</file>

<file path=word/_rels/header.xml.rels><?xml version="1.0" encoding="UTF-8" standalone="yes"?>
<Relationships xmlns="http://schemas.openxmlformats.org/package/2006/relationships">
    <Relationship Target="media/header_image_rId1.png" Type="http://schemas.openxmlformats.org/officeDocument/2006/relationships/image" Id="rId1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