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header_image_rId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Temurin Java 1.8.0_345 on Linux -->
    <w:p>
      <w:pPr>
        <w:spacing w:after="400" w:line="400" w:lineRule="atLeast"/>
        <w:jc w:val="center"/>
      </w:pPr>
      <w:r>
        <w:rPr>
          <w:b/>
          <w:sz w:val="39"/>
        </w:rPr>
        <w:t xml:space="preserve">外周血中T4转为T3的 过程</w:t>
      </w:r>
    </w:p>
    <w:p>
      <w:pPr>
        <w:pStyle w:val="Heading2"/>
        <w:spacing w:after="400" w:line="400" w:lineRule="atLeast"/>
      </w:pPr>
      <w:r>
        <w:t>回答</w:t>
      </w:r>
    </w:p>
    <w:p>
      <w:pPr>
        <w:spacing w:after="400" w:line="400" w:lineRule="atLeast"/>
      </w:pPr>
      <w:r>
        <w:t xml:space="preserve">外周血中 T4 向 T3 的转化是甲状腺激素活化的核心过程，约 80% 的循环 T3 由此途径产生（而甲状腺直接分泌的 T3 仅占 20%）[1][6][9]。该过程由 </w:t>
      </w:r>
      <w:r>
        <w:rPr>
          <w:b w:val="true"/>
        </w:rPr>
        <w:t>脱碘酶（Deiodinases）</w:t>
      </w:r>
      <w:r>
        <w:t xml:space="preserve">  介导，其调控直接影响甲状腺激素的生物活性。以下从机制、关键酶、调控因素及临床意义展开详解：</w:t>
      </w:r>
    </w:p>
    <w:p>
      <w:pPr>
        <w:spacing w:after="400" w:line="400" w:lineRule="atLeast"/>
      </w:pPr>
      <w:r>
        <w:rPr>
          <w:b/>
          <w:sz w:val="30"/>
        </w:rPr>
        <w:t>一、转化过程的生化机制</w:t>
      </w:r>
    </w:p>
    <w:p>
      <w:pPr>
        <w:spacing w:after="400" w:line="400" w:lineRule="atLeast"/>
      </w:pPr>
      <w:r>
        <w:rPr>
          <w:b/>
          <w:sz w:val="26"/>
        </w:rPr>
        <w:t>（一）反应本质：</w:t>
      </w:r>
      <w:r>
        <w:rPr>
          <w:b w:val="true"/>
          <w:sz w:val="26"/>
        </w:rPr>
        <w:t xml:space="preserve">外环 5'-脱碘作用</w:t>
      </w:r>
    </w:p>
    <w:p>
      <w:pPr>
        <w:numPr>
          <w:ilvl w:val="-1"/>
          <w:numId w:val="5"/>
        </w:numPr>
        <w:spacing w:after="400" w:line="400" w:lineRule="atLeast"/>
      </w:pPr>
      <w:r>
        <w:rPr>
          <w:b w:val="true"/>
        </w:rPr>
        <w:t>脱碘位点</w:t>
      </w:r>
      <w:r>
        <w:t xml:space="preserve">：T4 分子外环（酚环）5' 位的碘原子被特异性移除，生成活性形式 T3（3,3',5-三碘甲腺原氨酸）[1][9][12]。</w:t>
      </w:r>
    </w:p>
    <w:p>
      <w:pPr>
        <w:numPr>
          <w:ilvl w:val="-1"/>
          <w:numId w:val="10"/>
        </w:numPr>
        <w:spacing w:after="400" w:line="400" w:lineRule="atLeast"/>
      </w:pPr>
      <w:r>
        <w:rPr>
          <w:b w:val="true"/>
        </w:rPr>
        <w:t>反应式</w:t>
      </w:r>
      <w:r>
        <w:t>：</w:t>
      </w:r>
    </w:p>
    <w:p>
      <m:oMathPara>
        <m:oMath>
          <m:r>
            <m:t>T4-&gt;</m:t>
          </m:r>
          <m:d>
            <m:dPr>
              <m:begChr m:val="["/>
              <m:sepChr m:val=","/>
              <m:endChr m:val="]"/>
            </m:dPr>
            <m:e>
              <m:sSup>
                <m:e>
                  <m:r>
                    <m:t>5</m:t>
                  </m:r>
                </m:e>
                <m:sup>
                  <m:r>
                    <m:t>'</m:t>
                  </m:r>
                </m:sup>
              </m:sSup>
              <m:r>
                <m:t>-deiodination</m:t>
              </m:r>
            </m:e>
          </m:d>
          <m:r>
            <m:t>T3+</m:t>
          </m:r>
          <m:sSup>
            <m:e>
              <m:r>
                <m:t>I</m:t>
              </m:r>
            </m:e>
            <m:sup>
              <m:r>
                <m:t>-</m:t>
              </m:r>
            </m:sup>
          </m:sSup>
        </m:oMath>
      </m:oMathPara>
    </w:p>
    <w:p>
      <w:pPr>
        <w:spacing w:after="400" w:line="400" w:lineRule="atLeast"/>
      </w:pPr>
    </w:p>
    <w:p>
      <w:pPr>
        <w:numPr>
          <w:ilvl w:val="-1"/>
          <w:numId w:val="5"/>
        </w:numPr>
        <w:spacing w:after="400" w:line="400" w:lineRule="atLeast"/>
      </w:pPr>
      <w:r>
        <w:rPr>
          <w:b w:val="true"/>
        </w:rPr>
        <w:t>与内环脱碘的区别</w:t>
      </w:r>
      <w:r>
        <w:t>：</w:t>
      </w:r>
    </w:p>
    <w:p>
      <w:pPr>
        <w:numPr>
          <w:ilvl w:val="-1"/>
          <w:numId w:val="9"/>
        </w:numPr>
        <w:spacing w:after="400" w:line="400" w:lineRule="atLeast"/>
      </w:pPr>
      <w:r>
        <w:t xml:space="preserve">若 T4 内环（酪氨酸环）5 位脱碘，则生成无活性的 </w:t>
      </w:r>
      <w:r>
        <w:rPr>
          <w:b w:val="true"/>
        </w:rPr>
        <w:t xml:space="preserve">反 T3（rT3）</w:t>
      </w:r>
      <w:r>
        <w:t xml:space="preserve">  [1][4][12]。</w:t>
      </w:r>
    </w:p>
    <w:p>
      <w:p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关键点</w:t>
      </w:r>
      <w:r>
        <w:rPr>
          <w:color w:val="7F7F7F" w:themeColor="text1" w:themeTint="80"/>
        </w:rPr>
        <w:t>：5'-脱碘是激素</w:t>
      </w:r>
      <w:r>
        <w:rPr>
          <w:b w:val="true"/>
          <w:color w:val="7F7F7F" w:themeColor="text1" w:themeTint="80"/>
        </w:rPr>
        <w:t>活化的必经之路</w:t>
      </w:r>
      <w:r>
        <w:rPr>
          <w:color w:val="7F7F7F" w:themeColor="text1" w:themeTint="80"/>
        </w:rPr>
        <w:t xml:space="preserve">，而 5-脱碘导致</w:t>
      </w:r>
      <w:r>
        <w:rPr>
          <w:b w:val="true"/>
          <w:color w:val="7F7F7F" w:themeColor="text1" w:themeTint="80"/>
        </w:rPr>
        <w:t>失活</w:t>
      </w:r>
      <w:r>
        <w:rPr>
          <w:color w:val="7F7F7F" w:themeColor="text1" w:themeTint="80"/>
        </w:rPr>
        <w:t>。</w:t>
      </w:r>
    </w:p>
    <w:p>
      <w:pPr>
        <w:spacing w:after="400" w:line="400" w:lineRule="atLeast"/>
      </w:pPr>
      <w:r>
        <w:rPr>
          <w:b/>
          <w:sz w:val="30"/>
        </w:rPr>
        <w:t>二、核心催化酶：三类脱碘酶的作用与特性</w:t>
      </w:r>
    </w:p>
    <w:p>
      <w:pPr>
        <w:spacing w:after="400" w:line="400" w:lineRule="atLeast"/>
      </w:pPr>
      <w:r>
        <w:t>脱碘酶为含硒半胱氨酸的膜结合酶，根据结构和功能分为三型：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1659"/>
        <w:gridCol w:w="1659"/>
        <w:gridCol w:w="1659"/>
        <w:gridCol w:w="1659"/>
        <w:gridCol w:w="1659"/>
      </w:tblGrid>
      <w:tr>
        <w:tc>
          <w:tcPr>
            <w:tcW w:w="1659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酶类型</w:t>
            </w:r>
          </w:p>
        </w:tc>
        <w:tc>
          <w:tcPr>
            <w:tcW w:w="1659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主要作用</w:t>
            </w:r>
          </w:p>
        </w:tc>
        <w:tc>
          <w:tcPr>
            <w:tcW w:w="1659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组织分布</w:t>
            </w:r>
          </w:p>
        </w:tc>
        <w:tc>
          <w:tcPr>
            <w:tcW w:w="1659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动力学特征</w:t>
            </w:r>
          </w:p>
        </w:tc>
        <w:tc>
          <w:tcPr>
            <w:tcW w:w="1659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病理调控</w:t>
            </w:r>
          </w:p>
        </w:tc>
      </w:tr>
      <w:tr>
        <w:tc>
          <w:tcPr>
            <w:tcW w:w="1659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D1</w:t>
            </w:r>
          </w:p>
        </w:tc>
        <w:tc>
          <w:tcPr>
            <w:tcW w:w="1659" w:type="dxa"/>
            <w:tcBorders/>
          </w:tcPr>
          <w:p>
            <w:pPr>
              <w:spacing w:after="400" w:line="400" w:lineRule="exact"/>
            </w:pPr>
            <w:r>
              <w:t>T4→T3（外环脱碘）</w:t>
            </w:r>
          </w:p>
        </w:tc>
        <w:tc>
          <w:tcPr>
            <w:tcW w:w="1659" w:type="dxa"/>
            <w:tcBorders/>
          </w:tcPr>
          <w:p>
            <w:pPr>
              <w:spacing w:after="400" w:line="400" w:lineRule="exact"/>
            </w:pPr>
            <w:r>
              <w:t>肝、肾、甲状腺</w:t>
            </w:r>
          </w:p>
        </w:tc>
        <w:tc>
          <w:tcPr>
            <w:tcW w:w="1659" w:type="dxa"/>
            <w:tcBorders/>
          </w:tcPr>
          <w:p>
            <w:pPr>
              <w:spacing w:after="400" w:line="400" w:lineRule="exact"/>
            </w:pPr>
            <w:r>
              <w:t xml:space="preserve">高 Km（~10⁻⁶ M）</w:t>
            </w:r>
          </w:p>
        </w:tc>
        <w:tc>
          <w:tcPr>
            <w:tcW w:w="1659" w:type="dxa"/>
            <w:tcBorders/>
          </w:tcPr>
          <w:p>
            <w:pPr>
              <w:spacing w:after="400" w:line="400" w:lineRule="exact"/>
            </w:pPr>
            <w:r>
              <w:t xml:space="preserve">炎症/应激时活性↓ [2][6]</w:t>
            </w:r>
          </w:p>
        </w:tc>
      </w:tr>
      <w:tr>
        <w:tc>
          <w:tcPr>
            <w:tcW w:w="1659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D2</w:t>
            </w:r>
          </w:p>
        </w:tc>
        <w:tc>
          <w:tcPr>
            <w:tcW w:w="1659" w:type="dxa"/>
            <w:tcBorders/>
          </w:tcPr>
          <w:p>
            <w:pPr>
              <w:spacing w:after="400" w:line="400" w:lineRule="exact"/>
            </w:pPr>
            <w:r>
              <w:t>T4→T3（外环脱碘）</w:t>
            </w:r>
          </w:p>
        </w:tc>
        <w:tc>
          <w:tcPr>
            <w:tcW w:w="1659" w:type="dxa"/>
            <w:tcBorders/>
          </w:tcPr>
          <w:p>
            <w:pPr>
              <w:spacing w:after="400" w:line="400" w:lineRule="exact"/>
            </w:pPr>
            <w:r>
              <w:t>脑、垂体、骨骼肌、棕色脂肪</w:t>
            </w:r>
          </w:p>
        </w:tc>
        <w:tc>
          <w:tcPr>
            <w:tcW w:w="1659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 xml:space="preserve">极低 Km（~10⁻⁹ M）</w:t>
            </w:r>
          </w:p>
        </w:tc>
        <w:tc>
          <w:tcPr>
            <w:tcW w:w="1659" w:type="dxa"/>
            <w:tcBorders/>
          </w:tcPr>
          <w:p>
            <w:pPr>
              <w:spacing w:after="400" w:line="400" w:lineRule="exact"/>
            </w:pPr>
            <w:r>
              <w:t xml:space="preserve">饥饿/疾病时表达↓ [7][14]</w:t>
            </w:r>
          </w:p>
        </w:tc>
      </w:tr>
      <w:tr>
        <w:tc>
          <w:tcPr>
            <w:tcW w:w="1659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D3</w:t>
            </w:r>
          </w:p>
        </w:tc>
        <w:tc>
          <w:tcPr>
            <w:tcW w:w="1659" w:type="dxa"/>
            <w:tcBorders/>
          </w:tcPr>
          <w:p>
            <w:pPr>
              <w:spacing w:after="400" w:line="400" w:lineRule="exact"/>
            </w:pPr>
            <w:r>
              <w:t>T4→rT3（内环脱碘）</w:t>
            </w:r>
          </w:p>
        </w:tc>
        <w:tc>
          <w:tcPr>
            <w:tcW w:w="1659" w:type="dxa"/>
            <w:tcBorders/>
          </w:tcPr>
          <w:p>
            <w:pPr>
              <w:spacing w:after="400" w:line="400" w:lineRule="exact"/>
            </w:pPr>
            <w:r>
              <w:t>胎盘、脑、皮肤</w:t>
            </w:r>
          </w:p>
        </w:tc>
        <w:tc>
          <w:tcPr>
            <w:tcW w:w="1659" w:type="dxa"/>
            <w:tcBorders/>
          </w:tcPr>
          <w:p>
            <w:pPr>
              <w:spacing w:after="400" w:line="400" w:lineRule="exact"/>
            </w:pPr>
            <w:r>
              <w:t xml:space="preserve">催化 T4/T3 内环脱碘</w:t>
            </w:r>
          </w:p>
        </w:tc>
        <w:tc>
          <w:tcPr>
            <w:tcW w:w="1659" w:type="dxa"/>
            <w:tcBorders/>
          </w:tcPr>
          <w:p>
            <w:pPr>
              <w:spacing w:after="400" w:line="400" w:lineRule="exact"/>
            </w:pPr>
            <w:r>
              <w:t xml:space="preserve">炎症/肿瘤时活性↑ [2][8]</w:t>
            </w:r>
          </w:p>
        </w:tc>
      </w:tr>
    </w:tbl>
    <w:p>
      <w:pPr>
        <w:spacing w:before="400" w:after="400" w:line="400" w:lineRule="atLeast"/>
        <w:jc w:val="center"/>
      </w:pPr>
      <w:r>
        <w:drawing>
          <wp:inline distT="0" distB="0" distL="0" distR="0">
            <wp:extent cx="5274310" cy="3316233"/>
            <wp:effectExtent l="0" t="0" r="0" b="0"/>
            <wp:docPr id="1" name="图片1" descr="metapro添加图片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图片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400" w:line="400" w:lineRule="atLeast"/>
      </w:pPr>
      <w:r>
        <w:rPr>
          <w:b/>
          <w:sz w:val="26"/>
        </w:rPr>
        <w:t xml:space="preserve">（一）D1 与 D2 的协同与分工</w:t>
      </w:r>
    </w:p>
    <w:p>
      <w:pPr>
        <w:numPr>
          <w:ilvl w:val="0"/>
          <w:numId w:val="17"/>
        </w:numPr>
        <w:spacing w:after="400" w:line="400" w:lineRule="atLeast"/>
      </w:pPr>
      <w:r>
        <w:rPr>
          <w:b w:val="true"/>
        </w:rPr>
        <w:t xml:space="preserve">D1 的“量效调节”角色</w:t>
      </w:r>
      <w:r>
        <w:t>：</w:t>
      </w:r>
    </w:p>
    <w:p>
      <w:pPr>
        <w:numPr>
          <w:ilvl w:val="0"/>
          <w:numId w:val="7"/>
        </w:numPr>
        <w:spacing w:after="400" w:line="400" w:lineRule="atLeast"/>
      </w:pPr>
      <w:r>
        <w:t>高容量、低亲和力，主要在</w:t>
      </w:r>
      <w:r>
        <w:rPr>
          <w:b w:val="true"/>
        </w:rPr>
        <w:t>肝、肾</w:t>
      </w:r>
      <w:r>
        <w:t xml:space="preserve">清除 rT3 并提供游离碘[12][15]。</w:t>
      </w:r>
    </w:p>
    <w:p>
      <w:pPr>
        <w:numPr>
          <w:ilvl w:val="0"/>
          <w:numId w:val="7"/>
        </w:numPr>
        <w:spacing w:after="400" w:line="400" w:lineRule="atLeast"/>
      </w:pPr>
      <w:r>
        <w:t xml:space="preserve">对 PTU（丙硫氧嘧啶）敏感，可用于甲亢急症治疗[8]。</w:t>
      </w:r>
    </w:p>
    <w:p>
      <w:pPr>
        <w:numPr>
          <w:ilvl w:val="0"/>
          <w:numId w:val="17"/>
        </w:numPr>
        <w:spacing w:after="400" w:line="400" w:lineRule="atLeast"/>
      </w:pPr>
      <w:r>
        <w:rPr>
          <w:b w:val="true"/>
        </w:rPr>
        <w:t xml:space="preserve">D2 的“精密调控”角色</w:t>
      </w:r>
      <w:r>
        <w:t>：</w:t>
      </w:r>
    </w:p>
    <w:p>
      <w:pPr>
        <w:numPr>
          <w:ilvl w:val="0"/>
          <w:numId w:val="16"/>
        </w:numPr>
        <w:spacing w:after="400" w:line="400" w:lineRule="atLeast"/>
      </w:pPr>
      <w:r>
        <w:t>低容量、超高亲和力，维持</w:t>
      </w:r>
      <w:r>
        <w:rPr>
          <w:b w:val="true"/>
        </w:rPr>
        <w:t xml:space="preserve">脑、垂体等关键器官的局部 T3 浓度</w:t>
      </w:r>
      <w:r>
        <w:t>[7][12]。</w:t>
      </w:r>
    </w:p>
    <w:p>
      <w:pPr>
        <w:numPr>
          <w:ilvl w:val="0"/>
          <w:numId w:val="16"/>
        </w:numPr>
        <w:spacing w:after="400" w:line="400" w:lineRule="atLeast"/>
      </w:pPr>
      <w:r>
        <w:t>受泛素化调控：催化后自失活，避免过度转化[7][12]。</w:t>
      </w:r>
    </w:p>
    <w:p>
      <w:p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临床意义</w:t>
      </w:r>
      <w:r>
        <w:rPr>
          <w:color w:val="7F7F7F" w:themeColor="text1" w:themeTint="80"/>
        </w:rPr>
        <w:t>：</w:t>
      </w:r>
    </w:p>
    <w:p>
      <w:pPr>
        <w:numPr>
          <w:ilvl w:val="-1"/>
          <w:numId w:val="19"/>
        </w:num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D2 活性主导细胞内 T3 水平（尤其中枢神经系统）[12]；</w:t>
      </w:r>
    </w:p>
    <w:p>
      <w:pPr>
        <w:numPr>
          <w:ilvl w:val="-1"/>
          <w:numId w:val="19"/>
        </w:num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D1 贡献循环 T3 的 30~50%，D2 贡献 50~70%[14]。</w:t>
      </w:r>
    </w:p>
    <w:p>
      <w:pPr>
        <w:spacing w:after="400" w:line="400" w:lineRule="atLeast"/>
      </w:pPr>
      <w:r>
        <w:rPr>
          <w:b/>
          <w:sz w:val="30"/>
        </w:rPr>
        <w:t>三、动态调控因素</w:t>
      </w:r>
    </w:p>
    <w:p>
      <w:pPr>
        <w:spacing w:after="400" w:line="400" w:lineRule="atLeast"/>
      </w:pPr>
      <w:r>
        <w:rPr>
          <w:b/>
          <w:sz w:val="26"/>
        </w:rPr>
        <w:t>（一）生理性调节</w:t>
      </w:r>
    </w:p>
    <w:p>
      <w:pPr>
        <w:numPr>
          <w:ilvl w:val="0"/>
          <w:numId w:val="1"/>
        </w:numPr>
        <w:spacing w:after="400" w:line="400" w:lineRule="atLeast"/>
      </w:pPr>
      <w:r>
        <w:rPr>
          <w:b w:val="true"/>
        </w:rPr>
        <w:t>碘状态</w:t>
      </w:r>
      <w:r>
        <w:t>：</w:t>
      </w:r>
    </w:p>
    <w:p>
      <w:pPr>
        <w:numPr>
          <w:ilvl w:val="0"/>
          <w:numId w:val="18"/>
        </w:numPr>
        <w:spacing w:after="400" w:line="400" w:lineRule="atLeast"/>
      </w:pPr>
      <w:r>
        <w:rPr>
          <w:b w:val="true"/>
        </w:rPr>
        <w:t>缺碘时</w:t>
      </w:r>
      <w:r>
        <w:t xml:space="preserve">：D2 活性↑ → T4 向 T3 转化效率↑（维持代谢活性）[12]。</w:t>
      </w:r>
    </w:p>
    <w:p>
      <w:pPr>
        <w:numPr>
          <w:ilvl w:val="0"/>
          <w:numId w:val="18"/>
        </w:numPr>
        <w:spacing w:after="400" w:line="400" w:lineRule="atLeast"/>
      </w:pPr>
      <w:r>
        <w:rPr>
          <w:b w:val="true"/>
        </w:rPr>
        <w:t>高碘时</w:t>
      </w:r>
      <w:r>
        <w:t xml:space="preserve">：D1 活性↓ → 减少活性 T3 生成（Wolff-Chaikoff 效应）[8]。</w:t>
      </w:r>
    </w:p>
    <w:p>
      <w:pPr>
        <w:numPr>
          <w:ilvl w:val="0"/>
          <w:numId w:val="1"/>
        </w:numPr>
        <w:spacing w:after="400" w:line="400" w:lineRule="atLeast"/>
      </w:pPr>
      <w:r>
        <w:rPr>
          <w:b w:val="true"/>
        </w:rPr>
        <w:t>激素反馈</w:t>
      </w:r>
      <w:r>
        <w:t>：</w:t>
      </w:r>
    </w:p>
    <w:p>
      <w:pPr>
        <w:numPr>
          <w:ilvl w:val="0"/>
          <w:numId w:val="14"/>
        </w:numPr>
        <w:spacing w:after="400" w:line="400" w:lineRule="atLeast"/>
      </w:pPr>
      <w:r>
        <w:rPr>
          <w:b w:val="true"/>
        </w:rPr>
        <w:t>TSH</w:t>
      </w:r>
      <w:r>
        <w:t xml:space="preserve">：直接刺激 D2 表达，加速 T4→T3 以快速提升 T3 水平[7][12]。</w:t>
      </w:r>
    </w:p>
    <w:p>
      <w:pPr>
        <w:numPr>
          <w:ilvl w:val="0"/>
          <w:numId w:val="14"/>
        </w:numPr>
        <w:spacing w:after="400" w:line="400" w:lineRule="atLeast"/>
      </w:pPr>
      <w:r>
        <w:rPr>
          <w:b w:val="true"/>
        </w:rPr>
        <w:t xml:space="preserve">T3 自身</w:t>
      </w:r>
      <w:r>
        <w:t xml:space="preserve">：负反馈抑制 D2 基因表达，防止过度活化[12]。</w:t>
      </w:r>
    </w:p>
    <w:p>
      <w:pPr>
        <w:spacing w:after="400" w:line="400" w:lineRule="atLeast"/>
      </w:pPr>
      <w:r>
        <w:rPr>
          <w:b/>
          <w:sz w:val="26"/>
        </w:rPr>
        <w:t>（二）病理性干扰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病理状态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对脱碘酶的影响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 xml:space="preserve">循环 T3 变化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机制解析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全身炎症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D1/D2 ↓ + D3 ↑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T3 ↓↓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细胞因子（TNF-α, IL-6）抑制 D1/D2 [2][6]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饥饿/应激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D2 表达 ↓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T3 ↓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皮质醇升高抑制 D2 转录 [14]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肾功能衰竭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D1 活性 ↓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T3 ↓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尿毒症毒素积累干扰酶功能 [1]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甲状腺癌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肿瘤组织 D2 异常高表达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T3 ↑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肿瘤窃取 T4 自主转化 T3 [8]</w:t>
            </w:r>
          </w:p>
        </w:tc>
      </w:tr>
    </w:tbl>
    <w:p>
      <w:pPr>
        <w:pBdr>
          <w:left w:val="single" w:color="D0CECE" w:themeColor="background2" w:themeShade="E6" w:sz="12" w:space="4"/>
        </w:pBdr>
        <w:spacing w:before="400"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典型案例</w:t>
      </w:r>
      <w:r>
        <w:rPr>
          <w:color w:val="7F7F7F" w:themeColor="text1" w:themeTint="80"/>
        </w:rPr>
        <w:t xml:space="preserve">：低 T3 综合征（NTIS）中，D1/D2 抑制 + D3 激活导致 T3 降低 50% 以上，但 TSH 正常（区别于原发性甲减）[2][6]。</w:t>
      </w:r>
    </w:p>
    <w:p>
      <w:pPr>
        <w:spacing w:after="400" w:line="400" w:lineRule="atLeast"/>
      </w:pPr>
      <w:r>
        <w:rPr>
          <w:b/>
          <w:sz w:val="30"/>
        </w:rPr>
        <w:t>四、临床意义与检测解读</w:t>
      </w:r>
    </w:p>
    <w:p>
      <w:pPr>
        <w:spacing w:after="400" w:line="400" w:lineRule="atLeast"/>
      </w:pPr>
      <w:r>
        <w:rPr>
          <w:b/>
          <w:sz w:val="26"/>
        </w:rPr>
        <w:t>（一）激素检测的深层逻辑</w:t>
      </w:r>
    </w:p>
    <w:p>
      <w:pPr>
        <w:numPr>
          <w:ilvl w:val="-1"/>
          <w:numId w:val="4"/>
        </w:numPr>
        <w:spacing w:after="400" w:line="400" w:lineRule="atLeast"/>
      </w:pPr>
      <w:r>
        <w:rPr>
          <w:b w:val="true"/>
        </w:rPr>
        <w:t xml:space="preserve">为何 T3 敏感反映代谢状态？</w:t>
      </w:r>
    </w:p>
    <w:p>
      <w:pPr>
        <w:spacing w:after="400" w:line="400" w:lineRule="atLeast"/>
      </w:pPr>
      <w:r>
        <w:t xml:space="preserve">T3 半衰期仅 1 天（T4 约 7 天），且 80% 依赖外周转化，直接反映</w:t>
      </w:r>
      <w:r>
        <w:rPr>
          <w:b w:val="true"/>
        </w:rPr>
        <w:t>实时脱碘酶活性</w:t>
      </w:r>
      <w:r>
        <w:t>[9][12]。</w:t>
      </w:r>
    </w:p>
    <w:p>
      <w:pPr>
        <w:numPr>
          <w:ilvl w:val="-1"/>
          <w:numId w:val="4"/>
        </w:numPr>
        <w:spacing w:after="400" w:line="400" w:lineRule="atLeast"/>
      </w:pPr>
      <w:r>
        <w:rPr>
          <w:b w:val="true"/>
        </w:rPr>
        <w:t xml:space="preserve">T4 正常 + T3 降低的临床含义</w:t>
      </w:r>
      <w:r>
        <w:t>：</w:t>
      </w:r>
    </w:p>
    <w:p>
      <w:pPr>
        <w:spacing w:after="400" w:line="400" w:lineRule="atLeast"/>
      </w:pPr>
      <w:r>
        <w:t xml:space="preserve">提示 </w:t>
      </w:r>
      <w:r>
        <w:rPr>
          <w:b w:val="true"/>
        </w:rPr>
        <w:t xml:space="preserve">D1/D2 功能障碍</w:t>
      </w:r>
      <w:r>
        <w:t>（如重症感染、心衰），而非甲状腺本身衰竭[2][6]。</w:t>
      </w:r>
    </w:p>
    <w:p>
      <w:pPr>
        <w:spacing w:after="400" w:line="400" w:lineRule="atLeast"/>
      </w:pPr>
      <w:r>
        <w:rPr>
          <w:b/>
          <w:sz w:val="26"/>
        </w:rPr>
        <w:t>（二）治疗干预靶点</w:t>
      </w:r>
    </w:p>
    <w:p>
      <w:pPr>
        <w:numPr>
          <w:ilvl w:val="0"/>
          <w:numId w:val="13"/>
        </w:numPr>
        <w:spacing w:after="400" w:line="400" w:lineRule="atLeast"/>
      </w:pPr>
      <w:r>
        <w:rPr>
          <w:b w:val="true"/>
        </w:rPr>
        <w:t>硒补充</w:t>
      </w:r>
      <w:r>
        <w:t>：</w:t>
      </w:r>
    </w:p>
    <w:p>
      <w:pPr>
        <w:numPr>
          <w:ilvl w:val="0"/>
          <w:numId w:val="20"/>
        </w:numPr>
        <w:spacing w:after="400" w:line="400" w:lineRule="atLeast"/>
      </w:pPr>
      <w:r>
        <w:t xml:space="preserve">脱碘酶为硒蛋白，补硒（200 μg/日）可提升 D1 活性，改善低 T3 状态[10][12]。</w:t>
      </w:r>
    </w:p>
    <w:p>
      <w:pPr>
        <w:spacing w:after="400" w:line="400" w:lineRule="atLeast"/>
        <w:jc w:val="center"/>
      </w:pPr>
      <w:r>
        <w:drawing>
          <wp:inline distT="0" distB="0" distL="0" distR="0">
            <wp:extent cx="5274310" cy="3410570"/>
            <wp:effectExtent l="0" t="0" r="0" b="0"/>
            <wp:docPr id="2" name="图片2" descr="metapro添加图片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图片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spacing w:after="400" w:line="400" w:lineRule="atLeast"/>
      </w:pPr>
      <w:r>
        <w:rPr>
          <w:b w:val="true"/>
        </w:rPr>
        <w:t>甲状腺激素替代争议</w:t>
      </w:r>
      <w:r>
        <w:t>：</w:t>
      </w:r>
    </w:p>
    <w:p>
      <w:pPr>
        <w:numPr>
          <w:ilvl w:val="0"/>
          <w:numId w:val="3"/>
        </w:numPr>
        <w:spacing w:after="400" w:line="400" w:lineRule="atLeast"/>
      </w:pPr>
      <w:r>
        <w:t xml:space="preserve">危重患者补充 T3 可能短期改善代谢，但增加心肌耗氧风险[2][6]。</w:t>
      </w:r>
    </w:p>
    <w:p>
      <w:pPr>
        <w:spacing w:after="400" w:line="400" w:lineRule="atLeast"/>
      </w:pPr>
      <w:r>
        <w:rPr>
          <w:b/>
          <w:sz w:val="30"/>
        </w:rPr>
        <w:t>五、未解问题与研究前沿</w:t>
      </w:r>
    </w:p>
    <w:p>
      <w:pPr>
        <w:numPr>
          <w:ilvl w:val="0"/>
          <w:numId w:val="12"/>
        </w:numPr>
        <w:spacing w:after="400" w:line="400" w:lineRule="atLeast"/>
      </w:pPr>
      <w:r>
        <w:rPr>
          <w:b w:val="true"/>
        </w:rPr>
        <w:t>组织特异性代谢之谜</w:t>
      </w:r>
      <w:r>
        <w:t>：</w:t>
      </w:r>
    </w:p>
    <w:p>
      <w:pPr>
        <w:numPr>
          <w:ilvl w:val="0"/>
          <w:numId w:val="6"/>
        </w:numPr>
        <w:spacing w:after="400" w:line="400" w:lineRule="atLeast"/>
      </w:pPr>
      <w:r>
        <w:t xml:space="preserve">为何脑组织依赖 D2，而肝脏依赖 D1？可能与 D2 的</w:t>
      </w:r>
      <w:r>
        <w:rPr>
          <w:b w:val="true"/>
        </w:rPr>
        <w:t xml:space="preserve">低 Km 适配血脑屏障低 T4 环境</w:t>
      </w:r>
      <w:r>
        <w:t>有关[7][13]。</w:t>
      </w:r>
    </w:p>
    <w:p>
      <w:pPr>
        <w:spacing w:after="400" w:line="400" w:lineRule="atLeast"/>
        <w:jc w:val="center"/>
      </w:pPr>
      <w:r>
        <w:drawing>
          <wp:inline distT="0" distB="0" distL="0" distR="0">
            <wp:extent cx="5274310" cy="3728948"/>
            <wp:effectExtent l="0" t="0" r="0" b="0"/>
            <wp:docPr id="3" name="图片3" descr="metapro添加图片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图片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spacing w:after="400" w:line="400" w:lineRule="atLeast"/>
      </w:pPr>
      <w:r>
        <w:rPr>
          <w:b w:val="true"/>
        </w:rPr>
        <w:t>脱碘酶的非经典功能</w:t>
      </w:r>
      <w:r>
        <w:t>：</w:t>
      </w:r>
    </w:p>
    <w:p>
      <w:pPr>
        <w:numPr>
          <w:ilvl w:val="0"/>
          <w:numId w:val="8"/>
        </w:numPr>
        <w:spacing w:after="400" w:line="400" w:lineRule="atLeast"/>
      </w:pPr>
      <w:r>
        <w:t xml:space="preserve">D2 可调节 HIF-1α 稳定性，参与肿瘤代谢重编程[7]。</w:t>
      </w:r>
    </w:p>
    <w:p>
      <w:pPr>
        <w:numPr>
          <w:ilvl w:val="0"/>
          <w:numId w:val="12"/>
        </w:numPr>
        <w:spacing w:after="400" w:line="400" w:lineRule="atLeast"/>
      </w:pPr>
      <w:r>
        <w:rPr>
          <w:b w:val="true"/>
        </w:rPr>
        <w:t>基因调控新靶点</w:t>
      </w:r>
      <w:r>
        <w:t>：</w:t>
      </w:r>
    </w:p>
    <w:p>
      <w:pPr>
        <w:numPr>
          <w:ilvl w:val="0"/>
          <w:numId w:val="21"/>
        </w:numPr>
        <w:spacing w:after="400" w:line="400" w:lineRule="atLeast"/>
      </w:pPr>
      <w:r>
        <w:t xml:space="preserve">DIO2 基因多态性（Thr92Ala）与 2 型糖尿病风险相关，可能通过骨骼肌 D2 活性影响胰岛素敏感性[14]。</w:t>
      </w:r>
    </w:p>
    <w:p>
      <w:pPr>
        <w:spacing w:after="400" w:line="400" w:lineRule="atLeast"/>
      </w:pPr>
      <w:r>
        <w:rPr>
          <w:b/>
          <w:sz w:val="30"/>
        </w:rPr>
        <w:t xml:space="preserve">结论：T4→T3 转化的生理与病理全景</w:t>
      </w:r>
    </w:p>
    <w:p>
      <w:pPr>
        <w:numPr>
          <w:ilvl w:val="0"/>
          <w:numId w:val="2"/>
        </w:numPr>
        <w:spacing w:after="400" w:line="400" w:lineRule="atLeast"/>
      </w:pPr>
      <w:r>
        <w:rPr>
          <w:b w:val="true"/>
        </w:rPr>
        <w:t>核心途径</w:t>
      </w:r>
      <w:r>
        <w:t xml:space="preserve">：D1/D2 催化 T4 外环 5'-脱碘生成活性 T3，D3 催化内环脱碘生成无活性 rT3。</w:t>
      </w:r>
    </w:p>
    <w:p>
      <w:pPr>
        <w:numPr>
          <w:ilvl w:val="0"/>
          <w:numId w:val="2"/>
        </w:numPr>
        <w:spacing w:after="400" w:line="400" w:lineRule="atLeast"/>
      </w:pPr>
      <w:r>
        <w:rPr>
          <w:b w:val="true"/>
        </w:rPr>
        <w:t>动态平衡</w:t>
      </w:r>
      <w:r>
        <w:t>：</w:t>
      </w:r>
    </w:p>
    <w:p>
      <w:pPr>
        <w:numPr>
          <w:ilvl w:val="0"/>
          <w:numId w:val="11"/>
        </w:numPr>
        <w:spacing w:after="400" w:line="400" w:lineRule="atLeast"/>
      </w:pPr>
      <w:r>
        <w:rPr>
          <w:b w:val="true"/>
        </w:rPr>
        <w:t>生理状态</w:t>
      </w:r>
      <w:r>
        <w:t xml:space="preserve">：D2 主导精密调控，D1 提供基础转化能力；</w:t>
      </w:r>
    </w:p>
    <w:p>
      <w:pPr>
        <w:numPr>
          <w:ilvl w:val="0"/>
          <w:numId w:val="11"/>
        </w:numPr>
        <w:spacing w:after="400" w:line="400" w:lineRule="atLeast"/>
      </w:pPr>
      <w:r>
        <w:rPr>
          <w:b w:val="true"/>
        </w:rPr>
        <w:t>病理状态</w:t>
      </w:r>
      <w:r>
        <w:t xml:space="preserve">：炎症/应激通过“D1/D2 抑制 + D3 激活”导致低 T3 综合征。</w:t>
      </w:r>
    </w:p>
    <w:p>
      <w:pPr>
        <w:numPr>
          <w:ilvl w:val="0"/>
          <w:numId w:val="2"/>
        </w:numPr>
        <w:spacing w:after="400" w:line="400" w:lineRule="atLeast"/>
      </w:pPr>
      <w:r>
        <w:rPr>
          <w:b w:val="true"/>
        </w:rPr>
        <w:t>临床警示</w:t>
      </w:r>
      <w:r>
        <w:t>：</w:t>
      </w:r>
    </w:p>
    <w:p>
      <w:pPr>
        <w:numPr>
          <w:ilvl w:val="0"/>
          <w:numId w:val="15"/>
        </w:numPr>
        <w:spacing w:after="400" w:line="400" w:lineRule="atLeast"/>
      </w:pPr>
      <w:r>
        <w:t xml:space="preserve">T3 降低而 TSH 正常时，需优先排查肝肾功能、感染、营养不良等全身性疾病[2][6][9]。</w:t>
      </w:r>
    </w:p>
    <w:p>
      <w:p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权威建议</w:t>
      </w:r>
      <w:r>
        <w:rPr>
          <w:color w:val="7F7F7F" w:themeColor="text1" w:themeTint="80"/>
        </w:rPr>
        <w:t xml:space="preserve">：对不明原因 T3 降低者，应检测 CRP、肝酶、肌酐及营养指标，并行甲状腺超声评估 D2 活性相关病变（如肿瘤）[8][12]。</w:t>
      </w:r>
    </w:p>
    <w:p>
      <w:pPr>
        <w:pStyle w:val="Heading2"/>
        <w:spacing w:after="400" w:line="400" w:lineRule="atLeast"/>
      </w:pPr>
      <w:r>
        <w:t>参考资料</w:t>
      </w:r>
    </w:p>
    <w:p>
      <w:pPr>
        <w:spacing w:after="200" w:line="400" w:lineRule="atLeast"/>
      </w:pPr>
      <w:hyperlink r:id="rId7">
        <w:r>
          <w:rPr>
            <w:rStyle w:val="DefaultParagraphFont"/>
            <w:color w:val="0563C1"/>
          </w:rPr>
          <w:t xml:space="preserve">1. 生理学·第十一章·内分泌 [2022-12-07]</w:t>
        </w:r>
      </w:hyperlink>
    </w:p>
    <w:p>
      <w:pPr>
        <w:spacing w:after="200" w:line="400" w:lineRule="atLeast"/>
      </w:pPr>
      <w:hyperlink r:id="rId8">
        <w:r>
          <w:rPr>
            <w:rStyle w:val="DefaultParagraphFont"/>
            <w:color w:val="0563C1"/>
          </w:rPr>
          <w:t xml:space="preserve">2. 低T3综合征与重症心血管疾病患者预后关系的研究进展 [2024-09-25]</w:t>
        </w:r>
      </w:hyperlink>
    </w:p>
    <w:p>
      <w:pPr>
        <w:spacing w:after="200" w:line="400" w:lineRule="atLeast"/>
      </w:pPr>
      <w:hyperlink r:id="rId9">
        <w:r>
          <w:rPr>
            <w:rStyle w:val="DefaultParagraphFont"/>
            <w:color w:val="0563C1"/>
          </w:rPr>
          <w:t xml:space="preserve">3. 脱碘酶及影响酶活性的因素 [2023-09-11]</w:t>
        </w:r>
      </w:hyperlink>
    </w:p>
    <w:p>
      <w:pPr>
        <w:spacing w:after="200" w:line="400" w:lineRule="atLeast"/>
      </w:pPr>
      <w:hyperlink r:id="rId10">
        <w:r>
          <w:rPr>
            <w:rStyle w:val="DefaultParagraphFont"/>
            <w:color w:val="0563C1"/>
          </w:rPr>
          <w:t xml:space="preserve">4. 低T3综合征的临床表现与诊断 [2023-11-07]</w:t>
        </w:r>
      </w:hyperlink>
    </w:p>
    <w:p>
      <w:pPr>
        <w:spacing w:after="200" w:line="400" w:lineRule="atLeast"/>
      </w:pPr>
      <w:hyperlink r:id="rId11">
        <w:r>
          <w:rPr>
            <w:rStyle w:val="DefaultParagraphFont"/>
            <w:color w:val="0563C1"/>
          </w:rPr>
          <w:t xml:space="preserve">5. 甲状腺激素受体及其选择性激动剂的研究进展 [2024-05-28]</w:t>
        </w:r>
      </w:hyperlink>
    </w:p>
    <w:p>
      <w:pPr>
        <w:spacing w:after="200" w:line="400" w:lineRule="atLeast"/>
      </w:pPr>
      <w:hyperlink r:id="rId12">
        <w:r>
          <w:rPr>
            <w:rStyle w:val="DefaultParagraphFont"/>
            <w:color w:val="0563C1"/>
          </w:rPr>
          <w:t xml:space="preserve">6. T3偏低但T4、TSH正常，这是甲减还是？ [2021-01-01]</w:t>
        </w:r>
      </w:hyperlink>
    </w:p>
    <w:p>
      <w:pPr>
        <w:spacing w:after="200" w:line="400" w:lineRule="atLeast"/>
      </w:pPr>
      <w:hyperlink r:id="rId13">
        <w:r>
          <w:rPr>
            <w:rStyle w:val="DefaultParagraphFont"/>
            <w:color w:val="0563C1"/>
          </w:rPr>
          <w:t xml:space="preserve">7. The Deiodinase Trio and Thyroid Hormone Signaling [2019-06-03]</w:t>
        </w:r>
      </w:hyperlink>
    </w:p>
    <w:p>
      <w:pPr>
        <w:spacing w:after="200" w:line="400" w:lineRule="atLeast"/>
      </w:pPr>
      <w:hyperlink r:id="rId14">
        <w:r>
          <w:rPr>
            <w:rStyle w:val="DefaultParagraphFont"/>
            <w:color w:val="0563C1"/>
          </w:rPr>
          <w:t xml:space="preserve">8. 2021甲状腺病理生理-碘与甲状腺激素的合成和分泌 [2022-07-13]</w:t>
        </w:r>
      </w:hyperlink>
    </w:p>
    <w:p>
      <w:pPr>
        <w:spacing w:after="200" w:line="400" w:lineRule="atLeast"/>
      </w:pPr>
      <w:hyperlink r:id="rId15">
        <w:r>
          <w:rPr>
            <w:rStyle w:val="DefaultParagraphFont"/>
            <w:color w:val="0563C1"/>
          </w:rPr>
          <w:t xml:space="preserve">9. 甲状腺机能亢进症</w:t>
        </w:r>
      </w:hyperlink>
    </w:p>
    <w:p>
      <w:pPr>
        <w:spacing w:after="200" w:line="400" w:lineRule="atLeast"/>
      </w:pPr>
      <w:hyperlink r:id="rId16">
        <w:r>
          <w:rPr>
            <w:rStyle w:val="DefaultParagraphFont"/>
            <w:color w:val="0563C1"/>
          </w:rPr>
          <w:t xml:space="preserve">10. 低セレン血症を知っていただくために</w:t>
        </w:r>
      </w:hyperlink>
    </w:p>
    <w:p>
      <w:pPr>
        <w:spacing w:after="200" w:line="400" w:lineRule="atLeast"/>
      </w:pPr>
      <w:hyperlink r:id="rId17">
        <w:r>
          <w:rPr>
            <w:rStyle w:val="DefaultParagraphFont"/>
            <w:color w:val="0563C1"/>
          </w:rPr>
          <w:t xml:space="preserve">11. Role of Thyroid Hormones in Pancreatic Acinar Cell Regeneration following Acute Pancreatitis</w:t>
        </w:r>
      </w:hyperlink>
    </w:p>
    <w:p>
      <w:pPr>
        <w:spacing w:after="200" w:line="400" w:lineRule="atLeast"/>
      </w:pPr>
      <w:hyperlink r:id="rId18">
        <w:r>
          <w:rPr>
            <w:rStyle w:val="DefaultParagraphFont"/>
            <w:color w:val="0563C1"/>
          </w:rPr>
          <w:t xml:space="preserve">12. 甲状腺激素代谢与脱碘酶的作用机制 [2000-01-01]</w:t>
        </w:r>
      </w:hyperlink>
    </w:p>
    <w:p>
      <w:pPr>
        <w:spacing w:after="200" w:line="400" w:lineRule="atLeast"/>
      </w:pPr>
      <w:hyperlink r:id="rId19">
        <w:r>
          <w:rPr>
            <w:rStyle w:val="DefaultParagraphFont"/>
            <w:color w:val="0563C1"/>
          </w:rPr>
          <w:t xml:space="preserve">13. A Look at Thyroid Endocrinology</w:t>
        </w:r>
      </w:hyperlink>
    </w:p>
    <w:p>
      <w:pPr>
        <w:spacing w:after="200" w:line="400" w:lineRule="atLeast"/>
      </w:pPr>
      <w:hyperlink r:id="rId20">
        <w:r>
          <w:rPr>
            <w:rStyle w:val="DefaultParagraphFont"/>
            <w:color w:val="0563C1"/>
          </w:rPr>
          <w:t xml:space="preserve">14. Thyroid hormone metabolism during inflammation and fasting</w:t>
        </w:r>
      </w:hyperlink>
    </w:p>
    <w:p>
      <w:pPr>
        <w:spacing w:after="200" w:line="400" w:lineRule="atLeast"/>
      </w:pPr>
      <w:hyperlink r:id="rId21">
        <w:r>
          <w:rPr>
            <w:rStyle w:val="DefaultParagraphFont"/>
            <w:color w:val="0563C1"/>
          </w:rPr>
          <w:t xml:space="preserve">15. 沈伟,童钟杭.5＇-脱碘酶的研究及其临床意义[J].浙江医学,1992.</w:t>
        </w:r>
      </w:hyperlink>
    </w:p>
    <w:sectPr>
      <w:headerReference w:type="default" r:id="rId22"/>
      <w:footerReference w:type="default" r:id="rId23"/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oter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rPr>
        <w:rFonts/>
        <w:color w:val="808080"/>
        <w:sz w:val="18"/>
      </w:rPr>
      <w:t>内容为AI生成，可能不准确，请谨慎参考</w:t>
    </w:r>
  </w:p>
</w:ftr>
</file>

<file path=word/header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jc w:val="right"/>
    </w:pPr>
    <w:r>
      <w:drawing>
        <wp:inline distT="0" distB="0" distL="0" distR="0">
          <wp:extent cx="1336798" cy="320832"/>
          <wp:effectExtent l="0" t="0" r="0" b="0"/>
          <wp:docPr id="7837" name="image" descr="image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5674" name="imag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71875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1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2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3">
    <w:multiLevelType w:val="multilevel"/>
    <w:lvl w:ilvl="0">
      <w:start w:val="1"/>
      <w:numFmt w:val="bullet"/>
      <w:suff w:val="nothing"/>
      <w:lvlText w:val=""/>
      <w:rPr>
        <w:rFonts w:hint="default" w:ascii="Wingdings" w:hAnsi="Wingdings"/>
      </w:rPr>
    </w:lvl>
    <w:lvl w:ilvl="1">
      <w:start w:val="1"/>
      <w:numFmt w:val="bullet"/>
      <w:suff w:val="nothing"/>
      <w:lvlText w:val=""/>
      <w:pPr>
        <w:ind w:left="210"/>
      </w:pPr>
      <w:rPr>
        <w:rFonts w:hint="default" w:ascii="Wingdings" w:hAnsi="Wingdings"/>
      </w:rPr>
    </w:lvl>
    <w:lvl w:ilvl="2">
      <w:start w:val="1"/>
      <w:numFmt w:val="bullet"/>
      <w:suff w:val="nothing"/>
      <w:lvlText w:val=""/>
      <w:pPr>
        <w:ind w:left="420"/>
      </w:pPr>
      <w:rPr>
        <w:rFonts w:hint="default" w:ascii="Wingdings" w:hAnsi="Wingdings"/>
      </w:rPr>
    </w:lvl>
    <w:lvl w:ilvl="3">
      <w:start w:val="1"/>
      <w:numFmt w:val="bullet"/>
      <w:suff w:val="nothing"/>
      <w:lvlText w:val=""/>
      <w:pPr>
        <w:ind w:left="630"/>
      </w:pPr>
      <w:rPr>
        <w:rFonts w:hint="default" w:ascii="Wingdings" w:hAnsi="Wingdings"/>
      </w:rPr>
    </w:lvl>
    <w:lvl w:ilvl="4">
      <w:start w:val="1"/>
      <w:numFmt w:val="bullet"/>
      <w:suff w:val="nothing"/>
      <w:lvlText w:val=""/>
      <w:pPr>
        <w:ind w:left="840"/>
      </w:pPr>
      <w:rPr>
        <w:rFonts w:hint="default" w:ascii="Wingdings" w:hAnsi="Wingdings"/>
      </w:rPr>
    </w:lvl>
    <w:lvl w:ilvl="5">
      <w:start w:val="1"/>
      <w:numFmt w:val="bullet"/>
      <w:suff w:val="nothing"/>
      <w:lvlText w:val=""/>
      <w:pPr>
        <w:ind w:left="1050"/>
      </w:pPr>
      <w:rPr>
        <w:rFonts w:hint="default" w:ascii="Wingdings" w:hAnsi="Wingdings"/>
      </w:rPr>
    </w:lvl>
    <w:lvl w:ilvl="6">
      <w:start w:val="1"/>
      <w:numFmt w:val="bullet"/>
      <w:suff w:val="nothing"/>
      <w:lvlText w:val=""/>
      <w:pPr>
        <w:ind w:left="1260"/>
      </w:pPr>
      <w:rPr>
        <w:rFonts w:hint="default" w:ascii="Wingdings" w:hAnsi="Wingdings"/>
      </w:rPr>
    </w:lvl>
    <w:lvl w:ilvl="7">
      <w:start w:val="1"/>
      <w:numFmt w:val="bullet"/>
      <w:suff w:val="nothing"/>
      <w:lvlText w:val=""/>
      <w:pPr>
        <w:ind w:left="1470"/>
      </w:pPr>
      <w:rPr>
        <w:rFonts w:hint="default" w:ascii="Wingdings" w:hAnsi="Wingdings"/>
      </w:rPr>
    </w:lvl>
    <w:lvl w:ilvl="8">
      <w:start w:val="1"/>
      <w:numFmt w:val="bullet"/>
      <w:suff w:val="nothing"/>
      <w:lvlText w:val=""/>
      <w:pPr>
        <w:ind w:left="1680"/>
      </w:pPr>
      <w:rPr>
        <w:rFonts w:hint="default" w:ascii="Wingdings" w:hAnsi="Wingdings"/>
      </w:rPr>
    </w:lvl>
  </w:abstractNum>
  <w:abstractNum w:abstractNumId="4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5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5"/>
  </w:num>
  <w:num w:numId="13">
    <w:abstractNumId w:val="0"/>
  </w:num>
  <w:num w:numId="14">
    <w:abstractNumId w:val="3"/>
  </w:num>
  <w:num w:numId="15">
    <w:abstractNumId w:val="3"/>
  </w:num>
  <w:num w:numId="16">
    <w:abstractNumId w:val="3"/>
  </w:num>
  <w:num w:numId="17">
    <w:abstractNumId w:val="2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sz w:val="21"/>
      </w:rPr>
    </w:r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media/document_image_rId4.jpeg" Type="http://schemas.openxmlformats.org/officeDocument/2006/relationships/image" Id="rId4"/>
    <Relationship Target="media/document_image_rId5.jpeg" Type="http://schemas.openxmlformats.org/officeDocument/2006/relationships/image" Id="rId5"/>
    <Relationship Target="media/document_image_rId6.jpeg" Type="http://schemas.openxmlformats.org/officeDocument/2006/relationships/image" Id="rId6"/>
    <Relationship TargetMode="External" Target="https://mp.weixin.qq.com/s?__biz=Mzg3OTgyNzg5Ng%3D%3D&amp;mid=2247485279&amp;idx=7&amp;sn=760f8879ce3282ebcdfc26e0436c3917&amp;chksm=cf7fc988f808409e3f17f3e98d366956799b843f6ee9883c8487bdba60552100901890a5d3fa&amp;scene=27" Type="http://schemas.openxmlformats.org/officeDocument/2006/relationships/hyperlink" Id="rId7"/>
    <Relationship TargetMode="External" Target="https://mp.weixin.qq.com/s?__biz=MzIyNzI2ODU2Nw%3D%3D&amp;mid=2247516083&amp;idx=1&amp;sn=5659adb8b04992f4a23723bcec933127&amp;chksm=e93c3231b79bb80257b35b1ce949db1e0aa72c44d774dbe2b8ac214842ddc816062ca58be8f8&amp;scene=27" Type="http://schemas.openxmlformats.org/officeDocument/2006/relationships/hyperlink" Id="rId8"/>
    <Relationship TargetMode="External" Target="https://med.wanfangdata.com.cn/Paper/Detail?dbid=WF_QK&amp;id=PeriodicalPaper_zgmtgyyxzz200503004" Type="http://schemas.openxmlformats.org/officeDocument/2006/relationships/hyperlink" Id="rId9"/>
    <Relationship TargetMode="External" Target="https://mp.weixin.qq.com/s?__biz=MzI3NDQxMzY1Ng%3D%3D&amp;mid=2247496653&amp;idx=1&amp;sn=11bb926b4e5639e02ec90ecbdb3f1158&amp;chksm=ea5c1ed392327a0fcf17e9be43d5d0db003ad0a018c00f114a967b3fe7fadab1a553fe7b1b32&amp;scene=27" Type="http://schemas.openxmlformats.org/officeDocument/2006/relationships/hyperlink" Id="rId10"/>
    <Relationship TargetMode="External" Target="https://rs.yiigle.com/CN115399202004/1503185.htm" Type="http://schemas.openxmlformats.org/officeDocument/2006/relationships/hyperlink" Id="rId11"/>
    <Relationship TargetMode="External" Target="https://mp.weixin.qq.com/s?__biz=MzA3NDg5MzUwMQ%3D%3D&amp;mid=2653320158&amp;idx=3&amp;sn=ae2e6a149fcd9243779b68188614b1e0&amp;chksm=84aa020cb3dd8b1a66277e7b4f275df814b748968dc9b1f1e0bfe66de74f888d42f601d2e0eb&amp;scene=27" Type="http://schemas.openxmlformats.org/officeDocument/2006/relationships/hyperlink" Id="rId12"/>
    <Relationship TargetMode="External" Target="https://link.springer.com/protocol/10.1007/978-1-4939-7902-8_8" Type="http://schemas.openxmlformats.org/officeDocument/2006/relationships/hyperlink" Id="rId13"/>
    <Relationship TargetMode="External" Target="https://mp.weixin.qq.com/s?__biz=MzIwMTk4MzY2OQ%3D%3D&amp;mid=2247504468&amp;idx=1&amp;sn=f73dd125b9ff721ef517b9201beeeb9b&amp;chksm=96e7018ea19088988b68f268e9a8d1bc78c459d4e0f23c7493682ec0e3591cb5b9175b1523eb&amp;scene=27" Type="http://schemas.openxmlformats.org/officeDocument/2006/relationships/hyperlink" Id="rId14"/>
    <Relationship TargetMode="External" Target="http://jwc.fjmu.edu.cn/_upload/article/files/a4/64/7e00d79841f9b3ee9ca4bc8d132d/531c9276-89ee-4999-bce8-f3a260ab9673.pdf" Type="http://schemas.openxmlformats.org/officeDocument/2006/relationships/hyperlink" Id="rId15"/>
    <Relationship TargetMode="External" Target="http://www.fujimoto-pharm.co.jp/jp/iyakuhin/aselend/pdf/as-for_medical_staff.pdf" Type="http://schemas.openxmlformats.org/officeDocument/2006/relationships/hyperlink" Id="rId16"/>
    <Relationship TargetMode="External" Target="https://www.zora.uzh.ch/id/eprint/153885/1/153885.pdf" Type="http://schemas.openxmlformats.org/officeDocument/2006/relationships/hyperlink" Id="rId17"/>
    <Relationship TargetMode="External" Target="https://m.zhangyue.com/readbook/12946731/67.html" Type="http://schemas.openxmlformats.org/officeDocument/2006/relationships/hyperlink" Id="rId18"/>
    <Relationship TargetMode="External" Target="http://kcampbell.bio.umb.edu/CorpusChristiThyroid%20(1).ppt" Type="http://schemas.openxmlformats.org/officeDocument/2006/relationships/hyperlink" Id="rId19"/>
    <Relationship TargetMode="External" Target="https://pure.uva.nl/ws/files/2555855/158541_Vries_Emmely_thesis_complete.pdf" Type="http://schemas.openxmlformats.org/officeDocument/2006/relationships/hyperlink" Id="rId20"/>
    <Relationship TargetMode="External" Target="https://s.wanfangdata.com.cn/paper?q=5%EF%BC%87-%E8%84%B1%E7%A2%98%E9%85%B6%E7%9A%84%E7%A0%94%E7%A9%B6%E5%8F%8A%E5%85%B6%E4%B8%B4%E5%BA%8A%E6%84%8F%E4%B9%89" Type="http://schemas.openxmlformats.org/officeDocument/2006/relationships/hyperlink" Id="rId21"/>
    <Relationship Target="header.xml" Type="http://schemas.openxmlformats.org/officeDocument/2006/relationships/header" Id="rId22"/>
    <Relationship Target="footer.xml" Type="http://schemas.openxmlformats.org/officeDocument/2006/relationships/footer" Id="rId23"/>
</Relationships>

</file>

<file path=word/_rels/header.xml.rels><?xml version="1.0" encoding="UTF-8" standalone="yes"?>
<Relationships xmlns="http://schemas.openxmlformats.org/package/2006/relationships">
    <Relationship Target="media/header_image_rId1.png" Type="http://schemas.openxmlformats.org/officeDocument/2006/relationships/image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