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658C0"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一、什么是甲状腺？它有什么作用？什么是甲状腺癌？</w:t>
      </w:r>
    </w:p>
    <w:p w14:paraId="79B76648"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（一）甲状腺的定义、位置与形态</w:t>
      </w:r>
    </w:p>
    <w:p w14:paraId="1EC01745" w14:textId="7776DC89" w:rsidR="00CE5FCB" w:rsidRDefault="00B50E86" w:rsidP="005F53C8">
      <w:pPr>
        <w:spacing w:line="360" w:lineRule="auto"/>
        <w:jc w:val="both"/>
        <w:rPr>
          <w:rFonts w:ascii="Songti TC" w:eastAsia="Songti TC" w:hAnsi="Songti TC" w:hint="eastAsia"/>
        </w:rPr>
      </w:pPr>
      <w:r w:rsidRPr="00B50E86">
        <w:rPr>
          <w:rFonts w:ascii="Songti TC" w:eastAsia="Songti TC" w:hAnsi="Songti TC" w:hint="eastAsia"/>
        </w:rPr>
        <w:t>甲状腺是人体最大的内分泌腺体，位于颈部甲状软骨下方、气管两侧，呈蝴蝶状（左右两叶由峡部相连），吞咽时可随喉部上下移动。从外观上看，甲状腺也呈H型，不过有少数人的甲状腺峡可能缺失，还有约50%的人甲状腺峡部会向上伸出一锥状叶，长者可到达舌骨平面。正常甲状腺呈棕红色，富含血管，两个侧叶大致呈锥形，尖部又称上极，向上至甲状软骨板中分；底部又称下极，达第5或6气管软骨环水平；前缘薄，后缘钝圆。甲状腺侧叶长约5cm，最大横径约为3cm，最大前后径约为2cm，甲状腺峡部连接两侧叶的下部，其横径和上、下径约为1.25cm，常位于第2 - 4气管软骨的前方。</w:t>
      </w:r>
    </w:p>
    <w:p w14:paraId="7BF12593" w14:textId="378B2CF0"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rPr>
        <w:drawing>
          <wp:inline distT="0" distB="0" distL="0" distR="0" wp14:anchorId="7147D03F" wp14:editId="05D6D935">
            <wp:extent cx="5943600" cy="3618865"/>
            <wp:effectExtent l="0" t="0" r="0" b="635"/>
            <wp:docPr id="194502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5020" name=""/>
                    <pic:cNvPicPr/>
                  </pic:nvPicPr>
                  <pic:blipFill>
                    <a:blip r:embed="rId5"/>
                    <a:stretch>
                      <a:fillRect/>
                    </a:stretch>
                  </pic:blipFill>
                  <pic:spPr>
                    <a:xfrm>
                      <a:off x="0" y="0"/>
                      <a:ext cx="5943600" cy="3618865"/>
                    </a:xfrm>
                    <a:prstGeom prst="rect">
                      <a:avLst/>
                    </a:prstGeom>
                  </pic:spPr>
                </pic:pic>
              </a:graphicData>
            </a:graphic>
          </wp:inline>
        </w:drawing>
      </w:r>
    </w:p>
    <w:p w14:paraId="0BDBE2A1"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（二）甲状腺的生理功能解析</w:t>
      </w:r>
    </w:p>
    <w:p w14:paraId="0D91E161"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lastRenderedPageBreak/>
        <w:t>1. 激素合成与调控</w:t>
      </w:r>
    </w:p>
    <w:p w14:paraId="1EDE8397" w14:textId="1466DED2" w:rsidR="00B50E86" w:rsidRPr="00CE5FCB" w:rsidRDefault="008F0C80" w:rsidP="005F53C8">
      <w:pPr>
        <w:spacing w:line="360" w:lineRule="auto"/>
        <w:jc w:val="both"/>
        <w:rPr>
          <w:rFonts w:ascii="Songti TC" w:eastAsia="Songti TC" w:hAnsi="Songti TC" w:hint="eastAsia"/>
        </w:rPr>
      </w:pPr>
      <w:r w:rsidRPr="008F0C80">
        <w:rPr>
          <w:rFonts w:ascii="Songti TC" w:eastAsia="Songti TC" w:hAnsi="Songti TC" w:hint="eastAsia"/>
        </w:rPr>
        <w:t>甲状腺通过滤泡上皮细胞合成两种重要激素：甲状腺素（T4）和三碘甲状腺原氨酸（T3）。其中T3虽分泌量占比较低（约10%），但其生物学活性是T4的4-5倍，承担约90%的生理效应。同时，滤泡旁细胞分泌降钙素与微量生长抑素，前者促进血钙向骨骼沉积、抑制破骨细胞活性，后者可能通过旁分泌方式调节甲状腺激素和降钙素的分泌平衡。</w:t>
      </w:r>
    </w:p>
    <w:p w14:paraId="30800421"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2. 基础代谢调控</w:t>
      </w:r>
    </w:p>
    <w:p w14:paraId="24F202A0" w14:textId="77777777" w:rsidR="008F0C80" w:rsidRPr="008F0C80" w:rsidRDefault="008F0C80" w:rsidP="005F53C8">
      <w:pPr>
        <w:spacing w:after="0" w:line="360" w:lineRule="auto"/>
        <w:rPr>
          <w:rFonts w:ascii="Times New Roman" w:eastAsia="Times New Roman" w:hAnsi="Times New Roman" w:cs="Times New Roman"/>
          <w:kern w:val="0"/>
          <w14:ligatures w14:val="none"/>
        </w:rPr>
      </w:pPr>
      <w:r w:rsidRPr="008F0C80">
        <w:rPr>
          <w:rFonts w:ascii="SimSun" w:eastAsia="SimSun" w:hAnsi="SimSun" w:cs="SimSun" w:hint="eastAsia"/>
          <w:kern w:val="0"/>
          <w14:ligatures w14:val="none"/>
        </w:rPr>
        <w:t>甲状腺激素通过激活细胞线粒体氧化酶系统，显著提高基础代谢率。具体表现为</w:t>
      </w:r>
      <w:r w:rsidRPr="008F0C80">
        <w:rPr>
          <w:rFonts w:ascii="SimSun" w:eastAsia="SimSun" w:hAnsi="SimSun" w:cs="SimSun"/>
          <w:kern w:val="0"/>
          <w14:ligatures w14:val="none"/>
        </w:rPr>
        <w:t>：</w:t>
      </w:r>
    </w:p>
    <w:p w14:paraId="7C9DF24A" w14:textId="77777777" w:rsidR="008F0C80" w:rsidRPr="008F0C80" w:rsidRDefault="008F0C80" w:rsidP="005F53C8">
      <w:pPr>
        <w:pStyle w:val="ListParagraph"/>
        <w:numPr>
          <w:ilvl w:val="0"/>
          <w:numId w:val="16"/>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能源物质代谢</w:t>
      </w:r>
      <w:r w:rsidRPr="008F0C80">
        <w:rPr>
          <w:rFonts w:ascii="SimSun" w:eastAsia="SimSun" w:hAnsi="SimSun" w:cs="SimSun" w:hint="eastAsia"/>
          <w:kern w:val="0"/>
          <w14:ligatures w14:val="none"/>
        </w:rPr>
        <w:t>：同步促进糖原分解与合成，加速脂肪动员和蛋白质更</w:t>
      </w:r>
      <w:r w:rsidRPr="008F0C80">
        <w:rPr>
          <w:rFonts w:ascii="SimSun" w:eastAsia="SimSun" w:hAnsi="SimSun" w:cs="SimSun"/>
          <w:kern w:val="0"/>
          <w14:ligatures w14:val="none"/>
        </w:rPr>
        <w:t>新</w:t>
      </w:r>
    </w:p>
    <w:p w14:paraId="69D2727A" w14:textId="77777777" w:rsidR="008F0C80" w:rsidRPr="008F0C80" w:rsidRDefault="008F0C80" w:rsidP="005F53C8">
      <w:pPr>
        <w:pStyle w:val="ListParagraph"/>
        <w:numPr>
          <w:ilvl w:val="0"/>
          <w:numId w:val="16"/>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产热效应</w:t>
      </w:r>
      <w:r w:rsidRPr="008F0C80">
        <w:rPr>
          <w:rFonts w:ascii="SimSun" w:eastAsia="SimSun" w:hAnsi="SimSun" w:cs="SimSun" w:hint="eastAsia"/>
          <w:kern w:val="0"/>
          <w14:ligatures w14:val="none"/>
        </w:rPr>
        <w:t>：增加细胞耗氧量，维持体温平</w:t>
      </w:r>
      <w:r w:rsidRPr="008F0C80">
        <w:rPr>
          <w:rFonts w:ascii="SimSun" w:eastAsia="SimSun" w:hAnsi="SimSun" w:cs="SimSun"/>
          <w:kern w:val="0"/>
          <w14:ligatures w14:val="none"/>
        </w:rPr>
        <w:t>衡</w:t>
      </w:r>
    </w:p>
    <w:p w14:paraId="61235C4F" w14:textId="7DD4F584" w:rsidR="008F0C80" w:rsidRPr="008F0C80" w:rsidRDefault="008F0C80" w:rsidP="005F53C8">
      <w:pPr>
        <w:pStyle w:val="ListParagraph"/>
        <w:numPr>
          <w:ilvl w:val="0"/>
          <w:numId w:val="16"/>
        </w:numPr>
        <w:spacing w:before="100" w:beforeAutospacing="1" w:after="100" w:afterAutospacing="1" w:line="360" w:lineRule="auto"/>
        <w:rPr>
          <w:rFonts w:ascii="Times New Roman" w:eastAsia="Times New Roman" w:hAnsi="Times New Roman" w:cs="Times New Roman" w:hint="eastAsia"/>
          <w:kern w:val="0"/>
          <w14:ligatures w14:val="none"/>
        </w:rPr>
      </w:pPr>
      <w:r w:rsidRPr="008F0C80">
        <w:rPr>
          <w:rFonts w:ascii="SimSun" w:eastAsia="SimSun" w:hAnsi="SimSun" w:cs="SimSun" w:hint="eastAsia"/>
          <w:b/>
          <w:bCs/>
          <w:kern w:val="0"/>
          <w14:ligatures w14:val="none"/>
        </w:rPr>
        <w:t>临床表现关联</w:t>
      </w:r>
      <w:r w:rsidRPr="008F0C80">
        <w:rPr>
          <w:rFonts w:ascii="SimSun" w:eastAsia="SimSun" w:hAnsi="SimSun" w:cs="SimSun" w:hint="eastAsia"/>
          <w:kern w:val="0"/>
          <w14:ligatures w14:val="none"/>
        </w:rPr>
        <w:t>：甲亢患者因代谢亢进出现消瘦、多食怕热，甲减者则呈现代谢迟滞引发的畏寒、倦</w:t>
      </w:r>
      <w:r w:rsidRPr="008F0C80">
        <w:rPr>
          <w:rFonts w:ascii="SimSun" w:eastAsia="SimSun" w:hAnsi="SimSun" w:cs="SimSun"/>
          <w:kern w:val="0"/>
          <w14:ligatures w14:val="none"/>
        </w:rPr>
        <w:t>怠</w:t>
      </w:r>
    </w:p>
    <w:p w14:paraId="3A2B412D"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3. 生长发育影响</w:t>
      </w:r>
    </w:p>
    <w:p w14:paraId="4CAFBB94" w14:textId="77777777" w:rsidR="008F0C80" w:rsidRPr="008F0C80" w:rsidRDefault="008F0C80" w:rsidP="005F53C8">
      <w:pPr>
        <w:spacing w:after="0" w:line="360" w:lineRule="auto"/>
        <w:rPr>
          <w:rFonts w:ascii="Times New Roman" w:eastAsia="Times New Roman" w:hAnsi="Times New Roman" w:cs="Times New Roman"/>
          <w:kern w:val="0"/>
          <w14:ligatures w14:val="none"/>
        </w:rPr>
      </w:pPr>
      <w:r w:rsidRPr="008F0C80">
        <w:rPr>
          <w:rFonts w:ascii="SimSun" w:eastAsia="SimSun" w:hAnsi="SimSun" w:cs="SimSun" w:hint="eastAsia"/>
          <w:kern w:val="0"/>
          <w14:ligatures w14:val="none"/>
        </w:rPr>
        <w:t>在生命早期阶段，甲状腺激素作为神经系统分化和骨骼发育的关键调节者</w:t>
      </w:r>
      <w:r w:rsidRPr="008F0C80">
        <w:rPr>
          <w:rFonts w:ascii="SimSun" w:eastAsia="SimSun" w:hAnsi="SimSun" w:cs="SimSun"/>
          <w:kern w:val="0"/>
          <w14:ligatures w14:val="none"/>
        </w:rPr>
        <w:t>：</w:t>
      </w:r>
    </w:p>
    <w:p w14:paraId="0CBBFF3A" w14:textId="77777777" w:rsidR="008F0C80" w:rsidRPr="008F0C80" w:rsidRDefault="008F0C80" w:rsidP="005F53C8">
      <w:pPr>
        <w:numPr>
          <w:ilvl w:val="0"/>
          <w:numId w:val="17"/>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关键窗口期</w:t>
      </w:r>
      <w:r w:rsidRPr="008F0C80">
        <w:rPr>
          <w:rFonts w:ascii="SimSun" w:eastAsia="SimSun" w:hAnsi="SimSun" w:cs="SimSun" w:hint="eastAsia"/>
          <w:kern w:val="0"/>
          <w14:ligatures w14:val="none"/>
        </w:rPr>
        <w:t>：胚胎期至出生后</w:t>
      </w:r>
      <w:r w:rsidRPr="008F0C80">
        <w:rPr>
          <w:rFonts w:ascii="Times New Roman" w:eastAsia="Times New Roman" w:hAnsi="Times New Roman" w:cs="Times New Roman"/>
          <w:kern w:val="0"/>
          <w14:ligatures w14:val="none"/>
        </w:rPr>
        <w:t>2</w:t>
      </w:r>
      <w:r w:rsidRPr="008F0C80">
        <w:rPr>
          <w:rFonts w:ascii="SimSun" w:eastAsia="SimSun" w:hAnsi="SimSun" w:cs="SimSun" w:hint="eastAsia"/>
          <w:kern w:val="0"/>
          <w14:ligatures w14:val="none"/>
        </w:rPr>
        <w:t>年内缺乏</w:t>
      </w:r>
      <w:r w:rsidRPr="008F0C80">
        <w:rPr>
          <w:rFonts w:ascii="Times New Roman" w:eastAsia="Times New Roman" w:hAnsi="Times New Roman" w:cs="Times New Roman"/>
          <w:kern w:val="0"/>
          <w14:ligatures w14:val="none"/>
        </w:rPr>
        <w:t>T3/T4</w:t>
      </w:r>
      <w:r w:rsidRPr="008F0C80">
        <w:rPr>
          <w:rFonts w:ascii="SimSun" w:eastAsia="SimSun" w:hAnsi="SimSun" w:cs="SimSun" w:hint="eastAsia"/>
          <w:kern w:val="0"/>
          <w14:ligatures w14:val="none"/>
        </w:rPr>
        <w:t>将导致不可逆损</w:t>
      </w:r>
      <w:r w:rsidRPr="008F0C80">
        <w:rPr>
          <w:rFonts w:ascii="SimSun" w:eastAsia="SimSun" w:hAnsi="SimSun" w:cs="SimSun"/>
          <w:kern w:val="0"/>
          <w14:ligatures w14:val="none"/>
        </w:rPr>
        <w:t>伤</w:t>
      </w:r>
    </w:p>
    <w:p w14:paraId="219BCDE8" w14:textId="32A200C8" w:rsidR="008F0C80" w:rsidRPr="008F0C80" w:rsidRDefault="008F0C80" w:rsidP="005F53C8">
      <w:pPr>
        <w:numPr>
          <w:ilvl w:val="0"/>
          <w:numId w:val="18"/>
        </w:numPr>
        <w:spacing w:before="100" w:beforeAutospacing="1" w:after="100" w:afterAutospacing="1" w:line="360" w:lineRule="auto"/>
        <w:rPr>
          <w:rFonts w:ascii="Times New Roman" w:eastAsia="Times New Roman" w:hAnsi="Times New Roman" w:cs="Times New Roman" w:hint="eastAsia"/>
          <w:kern w:val="0"/>
          <w14:ligatures w14:val="none"/>
        </w:rPr>
      </w:pPr>
      <w:r w:rsidRPr="008F0C80">
        <w:rPr>
          <w:rFonts w:ascii="SimSun" w:eastAsia="SimSun" w:hAnsi="SimSun" w:cs="SimSun" w:hint="eastAsia"/>
          <w:b/>
          <w:bCs/>
          <w:kern w:val="0"/>
          <w14:ligatures w14:val="none"/>
        </w:rPr>
        <w:t>典型病理表现</w:t>
      </w:r>
      <w:r w:rsidRPr="008F0C80">
        <w:rPr>
          <w:rFonts w:ascii="SimSun" w:eastAsia="SimSun" w:hAnsi="SimSun" w:cs="SimSun" w:hint="eastAsia"/>
          <w:kern w:val="0"/>
          <w14:ligatures w14:val="none"/>
        </w:rPr>
        <w:t>：新生儿甲状腺功能缺失会引起</w:t>
      </w:r>
      <w:r w:rsidRPr="008F0C80">
        <w:rPr>
          <w:rFonts w:ascii="Times New Roman" w:eastAsia="Times New Roman" w:hAnsi="Times New Roman" w:cs="Times New Roman"/>
          <w:kern w:val="0"/>
          <w14:ligatures w14:val="none"/>
        </w:rPr>
        <w:t>"</w:t>
      </w:r>
      <w:r w:rsidRPr="008F0C80">
        <w:rPr>
          <w:rFonts w:ascii="SimSun" w:eastAsia="SimSun" w:hAnsi="SimSun" w:cs="SimSun" w:hint="eastAsia"/>
          <w:kern w:val="0"/>
          <w14:ligatures w14:val="none"/>
        </w:rPr>
        <w:t>呆小症</w:t>
      </w:r>
      <w:r w:rsidRPr="008F0C80">
        <w:rPr>
          <w:rFonts w:ascii="Times New Roman" w:eastAsia="Times New Roman" w:hAnsi="Times New Roman" w:cs="Times New Roman"/>
          <w:kern w:val="0"/>
          <w14:ligatures w14:val="none"/>
        </w:rPr>
        <w:t>"</w:t>
      </w:r>
      <w:r w:rsidRPr="008F0C80">
        <w:rPr>
          <w:rFonts w:ascii="SimSun" w:eastAsia="SimSun" w:hAnsi="SimSun" w:cs="SimSun" w:hint="eastAsia"/>
          <w:kern w:val="0"/>
          <w14:ligatures w14:val="none"/>
        </w:rPr>
        <w:t>，特征为智力障碍和骨骼发育迟</w:t>
      </w:r>
      <w:r w:rsidRPr="008F0C80">
        <w:rPr>
          <w:rFonts w:ascii="SimSun" w:eastAsia="SimSun" w:hAnsi="SimSun" w:cs="SimSun"/>
          <w:kern w:val="0"/>
          <w14:ligatures w14:val="none"/>
        </w:rPr>
        <w:t>缓</w:t>
      </w:r>
    </w:p>
    <w:p w14:paraId="2870375D"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4. 器官系统调控网络</w:t>
      </w:r>
    </w:p>
    <w:p w14:paraId="0C72D486" w14:textId="77777777" w:rsidR="008F0C80" w:rsidRPr="008F0C80" w:rsidRDefault="008F0C80" w:rsidP="005F53C8">
      <w:pPr>
        <w:spacing w:after="0" w:line="360" w:lineRule="auto"/>
        <w:rPr>
          <w:rFonts w:ascii="Times New Roman" w:eastAsia="Times New Roman" w:hAnsi="Times New Roman" w:cs="Times New Roman"/>
          <w:kern w:val="0"/>
          <w14:ligatures w14:val="none"/>
        </w:rPr>
      </w:pPr>
      <w:r w:rsidRPr="008F0C80">
        <w:rPr>
          <w:rFonts w:ascii="SimSun" w:eastAsia="SimSun" w:hAnsi="SimSun" w:cs="SimSun" w:hint="eastAsia"/>
          <w:kern w:val="0"/>
          <w14:ligatures w14:val="none"/>
        </w:rPr>
        <w:t>基于遍布全身的甲状腺激素受体，机体形成多维度调控体系</w:t>
      </w:r>
      <w:r w:rsidRPr="008F0C80">
        <w:rPr>
          <w:rFonts w:ascii="SimSun" w:eastAsia="SimSun" w:hAnsi="SimSun" w:cs="SimSun"/>
          <w:kern w:val="0"/>
          <w14:ligatures w14:val="none"/>
        </w:rPr>
        <w:t>：</w:t>
      </w:r>
    </w:p>
    <w:p w14:paraId="6DDF9232" w14:textId="77777777" w:rsidR="008F0C80" w:rsidRPr="008F0C80" w:rsidRDefault="008F0C80" w:rsidP="005F53C8">
      <w:pPr>
        <w:pStyle w:val="ListParagraph"/>
        <w:numPr>
          <w:ilvl w:val="0"/>
          <w:numId w:val="23"/>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lastRenderedPageBreak/>
        <w:t>神经系统</w:t>
      </w:r>
      <w:r w:rsidRPr="008F0C80">
        <w:rPr>
          <w:rFonts w:ascii="SimSun" w:eastAsia="SimSun" w:hAnsi="SimSun" w:cs="SimSun" w:hint="eastAsia"/>
          <w:kern w:val="0"/>
          <w14:ligatures w14:val="none"/>
        </w:rPr>
        <w:t>：维持皮层兴奋性，</w:t>
      </w:r>
      <w:r w:rsidRPr="008F0C80">
        <w:rPr>
          <w:rFonts w:ascii="Times New Roman" w:eastAsia="Times New Roman" w:hAnsi="Times New Roman" w:cs="Times New Roman"/>
          <w:kern w:val="0"/>
          <w14:ligatures w14:val="none"/>
        </w:rPr>
        <w:t>T3</w:t>
      </w:r>
      <w:r w:rsidRPr="008F0C80">
        <w:rPr>
          <w:rFonts w:ascii="SimSun" w:eastAsia="SimSun" w:hAnsi="SimSun" w:cs="SimSun" w:hint="eastAsia"/>
          <w:kern w:val="0"/>
          <w14:ligatures w14:val="none"/>
        </w:rPr>
        <w:t>水平异常可导致焦虑（亢进）或认知钝化（减退</w:t>
      </w:r>
      <w:r w:rsidRPr="008F0C80">
        <w:rPr>
          <w:rFonts w:ascii="SimSun" w:eastAsia="SimSun" w:hAnsi="SimSun" w:cs="SimSun"/>
          <w:kern w:val="0"/>
          <w14:ligatures w14:val="none"/>
        </w:rPr>
        <w:t>）</w:t>
      </w:r>
    </w:p>
    <w:p w14:paraId="71F5D1F6" w14:textId="77777777" w:rsidR="008F0C80" w:rsidRPr="008F0C80" w:rsidRDefault="008F0C80" w:rsidP="005F53C8">
      <w:pPr>
        <w:pStyle w:val="ListParagraph"/>
        <w:numPr>
          <w:ilvl w:val="0"/>
          <w:numId w:val="23"/>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心血管系统</w:t>
      </w:r>
      <w:r w:rsidRPr="008F0C80">
        <w:rPr>
          <w:rFonts w:ascii="SimSun" w:eastAsia="SimSun" w:hAnsi="SimSun" w:cs="SimSun" w:hint="eastAsia"/>
          <w:kern w:val="0"/>
          <w14:ligatures w14:val="none"/>
        </w:rPr>
        <w:t>：增强心肌收缩力，正向变时效应使心率加快，每搏输出量增</w:t>
      </w:r>
      <w:r w:rsidRPr="008F0C80">
        <w:rPr>
          <w:rFonts w:ascii="SimSun" w:eastAsia="SimSun" w:hAnsi="SimSun" w:cs="SimSun"/>
          <w:kern w:val="0"/>
          <w14:ligatures w14:val="none"/>
        </w:rPr>
        <w:t>加</w:t>
      </w:r>
    </w:p>
    <w:p w14:paraId="3419BF0C" w14:textId="0F48ABDC" w:rsidR="008F0C80" w:rsidRPr="008F0C80" w:rsidRDefault="008F0C80" w:rsidP="005F53C8">
      <w:pPr>
        <w:pStyle w:val="ListParagraph"/>
        <w:numPr>
          <w:ilvl w:val="0"/>
          <w:numId w:val="23"/>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消化系统</w:t>
      </w:r>
      <w:r w:rsidRPr="008F0C80">
        <w:rPr>
          <w:rFonts w:ascii="SimSun" w:eastAsia="SimSun" w:hAnsi="SimSun" w:cs="SimSun" w:hint="eastAsia"/>
          <w:kern w:val="0"/>
          <w14:ligatures w14:val="none"/>
        </w:rPr>
        <w:t>：通过胆碱能通路促进胃肠蠕动，激活消化酶活</w:t>
      </w:r>
      <w:r w:rsidRPr="008F0C80">
        <w:rPr>
          <w:rFonts w:ascii="SimSun" w:eastAsia="SimSun" w:hAnsi="SimSun" w:cs="SimSun"/>
          <w:kern w:val="0"/>
          <w14:ligatures w14:val="none"/>
        </w:rPr>
        <w:t>性</w:t>
      </w:r>
    </w:p>
    <w:p w14:paraId="2FF804B7" w14:textId="3EEDCAFA" w:rsidR="008F0C80" w:rsidRPr="008F0C80" w:rsidRDefault="008F0C80" w:rsidP="005F53C8">
      <w:pPr>
        <w:pStyle w:val="ListParagraph"/>
        <w:numPr>
          <w:ilvl w:val="0"/>
          <w:numId w:val="23"/>
        </w:numPr>
        <w:spacing w:before="100" w:beforeAutospacing="1" w:after="100" w:afterAutospacing="1" w:line="360" w:lineRule="auto"/>
        <w:rPr>
          <w:rFonts w:ascii="Times New Roman" w:eastAsia="Times New Roman" w:hAnsi="Times New Roman" w:cs="Times New Roman" w:hint="eastAsia"/>
          <w:kern w:val="0"/>
          <w14:ligatures w14:val="none"/>
        </w:rPr>
      </w:pPr>
      <w:r w:rsidRPr="008F0C80">
        <w:rPr>
          <w:rFonts w:ascii="SimSun" w:eastAsia="SimSun" w:hAnsi="SimSun" w:cs="SimSun" w:hint="eastAsia"/>
          <w:b/>
          <w:bCs/>
          <w:kern w:val="0"/>
          <w14:ligatures w14:val="none"/>
        </w:rPr>
        <w:t>生殖系统</w:t>
      </w:r>
      <w:r w:rsidRPr="008F0C80">
        <w:rPr>
          <w:rFonts w:ascii="SimSun" w:eastAsia="SimSun" w:hAnsi="SimSun" w:cs="SimSun" w:hint="eastAsia"/>
          <w:kern w:val="0"/>
          <w14:ligatures w14:val="none"/>
        </w:rPr>
        <w:t>：参与月经周期调节，严重甲亢</w:t>
      </w:r>
      <w:r w:rsidRPr="008F0C80">
        <w:rPr>
          <w:rFonts w:ascii="Times New Roman" w:eastAsia="Times New Roman" w:hAnsi="Times New Roman" w:cs="Times New Roman"/>
          <w:kern w:val="0"/>
          <w14:ligatures w14:val="none"/>
        </w:rPr>
        <w:t>/</w:t>
      </w:r>
      <w:r w:rsidRPr="008F0C80">
        <w:rPr>
          <w:rFonts w:ascii="SimSun" w:eastAsia="SimSun" w:hAnsi="SimSun" w:cs="SimSun" w:hint="eastAsia"/>
          <w:kern w:val="0"/>
          <w14:ligatures w14:val="none"/>
        </w:rPr>
        <w:t>甲减可能引发排卵障碍或不</w:t>
      </w:r>
      <w:r w:rsidRPr="008F0C80">
        <w:rPr>
          <w:rFonts w:ascii="SimSun" w:eastAsia="SimSun" w:hAnsi="SimSun" w:cs="SimSun"/>
          <w:kern w:val="0"/>
          <w14:ligatures w14:val="none"/>
        </w:rPr>
        <w:t>孕</w:t>
      </w:r>
    </w:p>
    <w:p w14:paraId="7408A05B"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5. 协同生理功能</w:t>
      </w:r>
    </w:p>
    <w:p w14:paraId="258546AF" w14:textId="77777777" w:rsidR="008F0C80" w:rsidRPr="008F0C80" w:rsidRDefault="008F0C80" w:rsidP="005F53C8">
      <w:pPr>
        <w:spacing w:after="0" w:line="360" w:lineRule="auto"/>
        <w:rPr>
          <w:rFonts w:ascii="Times New Roman" w:eastAsia="Times New Roman" w:hAnsi="Times New Roman" w:cs="Times New Roman"/>
          <w:kern w:val="0"/>
          <w14:ligatures w14:val="none"/>
        </w:rPr>
      </w:pPr>
      <w:r w:rsidRPr="008F0C80">
        <w:rPr>
          <w:rFonts w:ascii="SimSun" w:eastAsia="SimSun" w:hAnsi="SimSun" w:cs="SimSun" w:hint="eastAsia"/>
          <w:kern w:val="0"/>
          <w14:ligatures w14:val="none"/>
        </w:rPr>
        <w:t>除上述核心功能外，甲状腺还通过以下机制维持机体稳态</w:t>
      </w:r>
      <w:r w:rsidRPr="008F0C80">
        <w:rPr>
          <w:rFonts w:ascii="SimSun" w:eastAsia="SimSun" w:hAnsi="SimSun" w:cs="SimSun"/>
          <w:kern w:val="0"/>
          <w14:ligatures w14:val="none"/>
        </w:rPr>
        <w:t>：</w:t>
      </w:r>
    </w:p>
    <w:p w14:paraId="04F57E6C" w14:textId="77777777" w:rsidR="008F0C80" w:rsidRPr="008F0C80" w:rsidRDefault="008F0C80" w:rsidP="005F53C8">
      <w:pPr>
        <w:numPr>
          <w:ilvl w:val="0"/>
          <w:numId w:val="24"/>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钙磷代谢</w:t>
      </w:r>
      <w:r w:rsidRPr="008F0C80">
        <w:rPr>
          <w:rFonts w:ascii="SimSun" w:eastAsia="SimSun" w:hAnsi="SimSun" w:cs="SimSun" w:hint="eastAsia"/>
          <w:kern w:val="0"/>
          <w14:ligatures w14:val="none"/>
        </w:rPr>
        <w:t>：与甲状旁腺激素形成拮抗调</w:t>
      </w:r>
      <w:r w:rsidRPr="008F0C80">
        <w:rPr>
          <w:rFonts w:ascii="SimSun" w:eastAsia="SimSun" w:hAnsi="SimSun" w:cs="SimSun"/>
          <w:kern w:val="0"/>
          <w14:ligatures w14:val="none"/>
        </w:rPr>
        <w:t>控</w:t>
      </w:r>
    </w:p>
    <w:p w14:paraId="58FF965A" w14:textId="77777777" w:rsidR="008F0C80" w:rsidRPr="008F0C80" w:rsidRDefault="008F0C80" w:rsidP="005F53C8">
      <w:pPr>
        <w:numPr>
          <w:ilvl w:val="0"/>
          <w:numId w:val="25"/>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水盐平衡</w:t>
      </w:r>
      <w:r w:rsidRPr="008F0C80">
        <w:rPr>
          <w:rFonts w:ascii="SimSun" w:eastAsia="SimSun" w:hAnsi="SimSun" w:cs="SimSun" w:hint="eastAsia"/>
          <w:kern w:val="0"/>
          <w14:ligatures w14:val="none"/>
        </w:rPr>
        <w:t>：影响细胞膜钠泵活</w:t>
      </w:r>
      <w:r w:rsidRPr="008F0C80">
        <w:rPr>
          <w:rFonts w:ascii="SimSun" w:eastAsia="SimSun" w:hAnsi="SimSun" w:cs="SimSun"/>
          <w:kern w:val="0"/>
          <w14:ligatures w14:val="none"/>
        </w:rPr>
        <w:t>性</w:t>
      </w:r>
    </w:p>
    <w:p w14:paraId="6037DF79" w14:textId="77777777" w:rsidR="008F0C80" w:rsidRPr="008F0C80" w:rsidRDefault="008F0C80" w:rsidP="005F53C8">
      <w:pPr>
        <w:numPr>
          <w:ilvl w:val="0"/>
          <w:numId w:val="26"/>
        </w:numPr>
        <w:spacing w:before="100" w:beforeAutospacing="1" w:after="100" w:afterAutospacing="1" w:line="360" w:lineRule="auto"/>
        <w:rPr>
          <w:rFonts w:ascii="Times New Roman" w:eastAsia="Times New Roman" w:hAnsi="Times New Roman" w:cs="Times New Roman"/>
          <w:kern w:val="0"/>
          <w14:ligatures w14:val="none"/>
        </w:rPr>
      </w:pPr>
      <w:r w:rsidRPr="008F0C80">
        <w:rPr>
          <w:rFonts w:ascii="SimSun" w:eastAsia="SimSun" w:hAnsi="SimSun" w:cs="SimSun" w:hint="eastAsia"/>
          <w:b/>
          <w:bCs/>
          <w:kern w:val="0"/>
          <w14:ligatures w14:val="none"/>
        </w:rPr>
        <w:t>免疫调节</w:t>
      </w:r>
      <w:r w:rsidRPr="008F0C80">
        <w:rPr>
          <w:rFonts w:ascii="SimSun" w:eastAsia="SimSun" w:hAnsi="SimSun" w:cs="SimSun" w:hint="eastAsia"/>
          <w:kern w:val="0"/>
          <w14:ligatures w14:val="none"/>
        </w:rPr>
        <w:t>：通过树突细胞表面</w:t>
      </w:r>
      <w:r w:rsidRPr="008F0C80">
        <w:rPr>
          <w:rFonts w:ascii="Times New Roman" w:eastAsia="Times New Roman" w:hAnsi="Times New Roman" w:cs="Times New Roman"/>
          <w:kern w:val="0"/>
          <w14:ligatures w14:val="none"/>
        </w:rPr>
        <w:t>TSH</w:t>
      </w:r>
      <w:r w:rsidRPr="008F0C80">
        <w:rPr>
          <w:rFonts w:ascii="SimSun" w:eastAsia="SimSun" w:hAnsi="SimSun" w:cs="SimSun" w:hint="eastAsia"/>
          <w:kern w:val="0"/>
          <w14:ligatures w14:val="none"/>
        </w:rPr>
        <w:t>受体参与免疫应</w:t>
      </w:r>
      <w:r w:rsidRPr="008F0C80">
        <w:rPr>
          <w:rFonts w:ascii="SimSun" w:eastAsia="SimSun" w:hAnsi="SimSun" w:cs="SimSun"/>
          <w:kern w:val="0"/>
          <w14:ligatures w14:val="none"/>
        </w:rPr>
        <w:t>答</w:t>
      </w:r>
    </w:p>
    <w:p w14:paraId="764E87FD" w14:textId="7792351F" w:rsidR="00B50E86" w:rsidRPr="00CE5FCB" w:rsidRDefault="008F0C80" w:rsidP="005F53C8">
      <w:pPr>
        <w:spacing w:line="360" w:lineRule="auto"/>
        <w:jc w:val="both"/>
        <w:rPr>
          <w:rFonts w:ascii="Songti TC" w:eastAsia="Songti TC" w:hAnsi="Songti TC" w:hint="eastAsia"/>
        </w:rPr>
      </w:pPr>
      <w:r>
        <w:rPr>
          <w:noProof/>
        </w:rPr>
        <w:lastRenderedPageBreak/>
        <w:drawing>
          <wp:inline distT="0" distB="0" distL="0" distR="0" wp14:anchorId="2B270827" wp14:editId="33DFC063">
            <wp:extent cx="5943600" cy="4586177"/>
            <wp:effectExtent l="0" t="0" r="0" b="0"/>
            <wp:docPr id="168318521" name="Picture 2" descr="A diagram of a circular diagram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521" name="Picture 2" descr="A diagram of a circular diagram with arrows&#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b="10270"/>
                    <a:stretch/>
                  </pic:blipFill>
                  <pic:spPr bwMode="auto">
                    <a:xfrm>
                      <a:off x="0" y="0"/>
                      <a:ext cx="5943600" cy="4586177"/>
                    </a:xfrm>
                    <a:prstGeom prst="rect">
                      <a:avLst/>
                    </a:prstGeom>
                    <a:noFill/>
                    <a:ln>
                      <a:noFill/>
                    </a:ln>
                    <a:extLst>
                      <a:ext uri="{53640926-AAD7-44D8-BBD7-CCE9431645EC}">
                        <a14:shadowObscured xmlns:a14="http://schemas.microsoft.com/office/drawing/2010/main"/>
                      </a:ext>
                    </a:extLst>
                  </pic:spPr>
                </pic:pic>
              </a:graphicData>
            </a:graphic>
          </wp:inline>
        </w:drawing>
      </w:r>
    </w:p>
    <w:p w14:paraId="09FCBE65"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（三）甲状腺癌的定义与现状</w:t>
      </w:r>
    </w:p>
    <w:p w14:paraId="6A41556B" w14:textId="2B7D31F9" w:rsidR="008F0C80" w:rsidRDefault="008F0C80" w:rsidP="005F53C8">
      <w:pPr>
        <w:spacing w:line="360" w:lineRule="auto"/>
        <w:jc w:val="both"/>
        <w:rPr>
          <w:rFonts w:ascii="Songti TC" w:eastAsia="Songti TC" w:hAnsi="Songti TC"/>
        </w:rPr>
      </w:pPr>
      <w:r w:rsidRPr="008F0C80">
        <w:rPr>
          <w:rFonts w:ascii="Songti TC" w:eastAsia="Songti TC" w:hAnsi="Songti TC" w:hint="eastAsia"/>
        </w:rPr>
        <w:t>甲状腺癌是一种起源于甲状腺滤泡上皮或滤泡旁上皮细胞的恶性肿瘤，也是头颈部最常见的恶性肿瘤。近年来，其发病率在全球范围内增长迅速，我国甲状腺癌发病率已位居女性恶性肿瘤第</w:t>
      </w:r>
      <w:r>
        <w:rPr>
          <w:rFonts w:ascii="Songti TC" w:eastAsia="Songti TC" w:hAnsi="Songti TC" w:hint="eastAsia"/>
        </w:rPr>
        <w:t>3</w:t>
      </w:r>
      <w:r w:rsidRPr="008F0C80">
        <w:rPr>
          <w:rFonts w:ascii="Songti TC" w:eastAsia="Songti TC" w:hAnsi="Songti TC" w:hint="eastAsia"/>
        </w:rPr>
        <w:t>位，并以每年约20%的速度持续增长。</w:t>
      </w:r>
    </w:p>
    <w:p w14:paraId="630ADDF6" w14:textId="062FD775" w:rsidR="008F0C80" w:rsidRDefault="008F0C80" w:rsidP="005F53C8">
      <w:pPr>
        <w:spacing w:line="360" w:lineRule="auto"/>
        <w:jc w:val="center"/>
        <w:rPr>
          <w:rFonts w:ascii="Songti TC" w:eastAsia="Songti TC" w:hAnsi="Songti TC" w:hint="eastAsia"/>
        </w:rPr>
      </w:pPr>
      <w:r>
        <w:lastRenderedPageBreak/>
        <w:fldChar w:fldCharType="begin"/>
      </w:r>
      <w:r>
        <w:instrText xml:space="preserve"> INCLUDEPICTURE "https://q2.itc.cn/q_70/images03/20240709/6b6bf33ffbe84a34a3ed7b0789727b14.png" \* MERGEFORMATINET </w:instrText>
      </w:r>
      <w:r>
        <w:fldChar w:fldCharType="separate"/>
      </w:r>
      <w:r>
        <w:rPr>
          <w:noProof/>
        </w:rPr>
        <w:drawing>
          <wp:inline distT="0" distB="0" distL="0" distR="0" wp14:anchorId="10E84F00" wp14:editId="3DE81E7A">
            <wp:extent cx="2000561" cy="3466214"/>
            <wp:effectExtent l="0" t="0" r="0" b="1270"/>
            <wp:docPr id="52957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9244" cy="3515912"/>
                    </a:xfrm>
                    <a:prstGeom prst="rect">
                      <a:avLst/>
                    </a:prstGeom>
                    <a:noFill/>
                    <a:ln>
                      <a:noFill/>
                    </a:ln>
                  </pic:spPr>
                </pic:pic>
              </a:graphicData>
            </a:graphic>
          </wp:inline>
        </w:drawing>
      </w:r>
      <w:r>
        <w:fldChar w:fldCharType="end"/>
      </w:r>
      <w:r>
        <w:fldChar w:fldCharType="begin"/>
      </w:r>
      <w:r>
        <w:instrText xml:space="preserve"> INCLUDEPICTURE "https://q6.itc.cn/q_70/images03/20240709/d42557a3ee93440da3760f3f8ef4b85e.png" \* MERGEFORMATINET </w:instrText>
      </w:r>
      <w:r>
        <w:fldChar w:fldCharType="separate"/>
      </w:r>
      <w:r>
        <w:rPr>
          <w:noProof/>
        </w:rPr>
        <w:drawing>
          <wp:inline distT="0" distB="0" distL="0" distR="0" wp14:anchorId="57633CF9" wp14:editId="5FB1AA88">
            <wp:extent cx="3884428" cy="1872908"/>
            <wp:effectExtent l="0" t="0" r="1905" b="0"/>
            <wp:docPr id="321090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7199" cy="1927282"/>
                    </a:xfrm>
                    <a:prstGeom prst="rect">
                      <a:avLst/>
                    </a:prstGeom>
                    <a:noFill/>
                    <a:ln>
                      <a:noFill/>
                    </a:ln>
                  </pic:spPr>
                </pic:pic>
              </a:graphicData>
            </a:graphic>
          </wp:inline>
        </w:drawing>
      </w:r>
      <w:r>
        <w:fldChar w:fldCharType="end"/>
      </w:r>
    </w:p>
    <w:p w14:paraId="4020DB6B"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（四）甲状腺癌的分类与特点</w:t>
      </w:r>
    </w:p>
    <w:p w14:paraId="478E7096"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1. 分化型甲状腺癌（DTC）</w:t>
      </w:r>
    </w:p>
    <w:p w14:paraId="3E8206BB"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（1）乳头状癌（PTC）</w:t>
      </w:r>
    </w:p>
    <w:p w14:paraId="22A57C1B" w14:textId="77777777" w:rsidR="005F53C8" w:rsidRDefault="005F53C8" w:rsidP="005F53C8">
      <w:pPr>
        <w:pStyle w:val="NormalWeb"/>
        <w:spacing w:line="360" w:lineRule="auto"/>
      </w:pPr>
      <w:r>
        <w:rPr>
          <w:rFonts w:ascii="SimSun" w:eastAsia="SimSun" w:hAnsi="SimSun" w:cs="SimSun" w:hint="eastAsia"/>
        </w:rPr>
        <w:t>占全部病例的</w:t>
      </w:r>
      <w:r>
        <w:t>85% - 90%,</w:t>
      </w:r>
      <w:r>
        <w:rPr>
          <w:rFonts w:ascii="SimSun" w:eastAsia="SimSun" w:hAnsi="SimSun" w:cs="SimSun" w:hint="eastAsia"/>
        </w:rPr>
        <w:t>生长缓慢、预后良好</w:t>
      </w:r>
      <w:r>
        <w:t>,</w:t>
      </w:r>
      <w:r>
        <w:rPr>
          <w:rFonts w:ascii="SimSun" w:eastAsia="SimSun" w:hAnsi="SimSun" w:cs="SimSun" w:hint="eastAsia"/>
        </w:rPr>
        <w:t>但易早期淋巴结转移。癌细胞生长速度特别缓慢</w:t>
      </w:r>
      <w:r>
        <w:t>,</w:t>
      </w:r>
      <w:r>
        <w:rPr>
          <w:rFonts w:ascii="SimSun" w:eastAsia="SimSun" w:hAnsi="SimSun" w:cs="SimSun" w:hint="eastAsia"/>
        </w:rPr>
        <w:t>几乎和良性的肿瘤组织生长速度差不多</w:t>
      </w:r>
      <w:r>
        <w:t>,</w:t>
      </w:r>
      <w:r>
        <w:rPr>
          <w:rFonts w:ascii="SimSun" w:eastAsia="SimSun" w:hAnsi="SimSun" w:cs="SimSun" w:hint="eastAsia"/>
        </w:rPr>
        <w:t>可以在很多年的时间内没有明显的发展。大部分早中期的甲状腺乳头状癌患者</w:t>
      </w:r>
      <w:r>
        <w:t>,</w:t>
      </w:r>
      <w:r>
        <w:rPr>
          <w:rFonts w:ascii="SimSun" w:eastAsia="SimSun" w:hAnsi="SimSun" w:cs="SimSun" w:hint="eastAsia"/>
        </w:rPr>
        <w:t>主要是局部的淋巴结转移</w:t>
      </w:r>
      <w:r>
        <w:t>,</w:t>
      </w:r>
      <w:r>
        <w:rPr>
          <w:rFonts w:ascii="SimSun" w:eastAsia="SimSun" w:hAnsi="SimSun" w:cs="SimSun" w:hint="eastAsia"/>
        </w:rPr>
        <w:t>产生远处转移的机会相对比较少</w:t>
      </w:r>
      <w:r>
        <w:t>,</w:t>
      </w:r>
      <w:r>
        <w:rPr>
          <w:rFonts w:ascii="SimSun" w:eastAsia="SimSun" w:hAnsi="SimSun" w:cs="SimSun" w:hint="eastAsia"/>
        </w:rPr>
        <w:t>血行转移相对比较少</w:t>
      </w:r>
      <w:r>
        <w:t>,</w:t>
      </w:r>
      <w:r>
        <w:rPr>
          <w:rFonts w:ascii="SimSun" w:eastAsia="SimSun" w:hAnsi="SimSun" w:cs="SimSun" w:hint="eastAsia"/>
        </w:rPr>
        <w:t>所以通过早发现、早诊断、早治疗</w:t>
      </w:r>
      <w:r>
        <w:t>,</w:t>
      </w:r>
      <w:r>
        <w:rPr>
          <w:rFonts w:ascii="SimSun" w:eastAsia="SimSun" w:hAnsi="SimSun" w:cs="SimSun" w:hint="eastAsia"/>
        </w:rPr>
        <w:t>做手术切除后可接近治愈。手术后</w:t>
      </w:r>
      <w:r>
        <w:t>5</w:t>
      </w:r>
      <w:r>
        <w:rPr>
          <w:rFonts w:ascii="SimSun" w:eastAsia="SimSun" w:hAnsi="SimSun" w:cs="SimSun" w:hint="eastAsia"/>
        </w:rPr>
        <w:t>年的存活率几乎达到</w:t>
      </w:r>
      <w:r>
        <w:t>100%,10</w:t>
      </w:r>
      <w:r>
        <w:rPr>
          <w:rFonts w:ascii="SimSun" w:eastAsia="SimSun" w:hAnsi="SimSun" w:cs="SimSun" w:hint="eastAsia"/>
        </w:rPr>
        <w:t>年的存活率也能达到</w:t>
      </w:r>
      <w:r>
        <w:t>98%</w:t>
      </w:r>
      <w:r>
        <w:rPr>
          <w:rFonts w:ascii="SimSun" w:eastAsia="SimSun" w:hAnsi="SimSun" w:cs="SimSun" w:hint="eastAsia"/>
        </w:rPr>
        <w:t>。</w:t>
      </w:r>
    </w:p>
    <w:p w14:paraId="4196EBF4" w14:textId="77777777" w:rsidR="005F53C8" w:rsidRDefault="005F53C8" w:rsidP="005F53C8">
      <w:pPr>
        <w:spacing w:line="360" w:lineRule="auto"/>
        <w:jc w:val="both"/>
        <w:rPr>
          <w:rFonts w:ascii="Songti TC" w:eastAsia="Songti TC" w:hAnsi="Songti TC" w:hint="eastAsia"/>
        </w:rPr>
      </w:pPr>
    </w:p>
    <w:p w14:paraId="55E6C8CE" w14:textId="77777777" w:rsidR="005F53C8" w:rsidRPr="00CE5FCB" w:rsidRDefault="005F53C8" w:rsidP="005F53C8">
      <w:pPr>
        <w:spacing w:line="360" w:lineRule="auto"/>
        <w:jc w:val="center"/>
        <w:rPr>
          <w:rFonts w:ascii="Songti TC" w:eastAsia="Songti TC" w:hAnsi="Songti TC" w:hint="eastAsia"/>
        </w:rPr>
      </w:pPr>
      <w:r>
        <w:rPr>
          <w:noProof/>
        </w:rPr>
        <w:lastRenderedPageBreak/>
        <w:drawing>
          <wp:inline distT="0" distB="0" distL="0" distR="0" wp14:anchorId="11B26686" wp14:editId="0E683F24">
            <wp:extent cx="2977116" cy="2165821"/>
            <wp:effectExtent l="0" t="0" r="0" b="0"/>
            <wp:docPr id="1148101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595"/>
                    <a:stretch/>
                  </pic:blipFill>
                  <pic:spPr bwMode="auto">
                    <a:xfrm>
                      <a:off x="0" y="0"/>
                      <a:ext cx="3000404" cy="2182763"/>
                    </a:xfrm>
                    <a:prstGeom prst="rect">
                      <a:avLst/>
                    </a:prstGeom>
                    <a:noFill/>
                    <a:ln>
                      <a:noFill/>
                    </a:ln>
                    <a:extLst>
                      <a:ext uri="{53640926-AAD7-44D8-BBD7-CCE9431645EC}">
                        <a14:shadowObscured xmlns:a14="http://schemas.microsoft.com/office/drawing/2010/main"/>
                      </a:ext>
                    </a:extLst>
                  </pic:spPr>
                </pic:pic>
              </a:graphicData>
            </a:graphic>
          </wp:inline>
        </w:drawing>
      </w:r>
    </w:p>
    <w:p w14:paraId="1D48FE6A"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（2）滤泡状癌（FTC）</w:t>
      </w:r>
    </w:p>
    <w:p w14:paraId="54AD5A2F" w14:textId="77777777" w:rsidR="005F53C8" w:rsidRDefault="005F53C8" w:rsidP="005F53C8">
      <w:pPr>
        <w:pStyle w:val="NormalWeb"/>
      </w:pPr>
      <w:r>
        <w:rPr>
          <w:rFonts w:ascii="SimSun" w:eastAsia="SimSun" w:hAnsi="SimSun" w:cs="SimSun" w:hint="eastAsia"/>
        </w:rPr>
        <w:t>较少见</w:t>
      </w:r>
      <w:r>
        <w:t>,</w:t>
      </w:r>
      <w:r>
        <w:rPr>
          <w:rFonts w:ascii="SimSun" w:eastAsia="SimSun" w:hAnsi="SimSun" w:cs="SimSun" w:hint="eastAsia"/>
        </w:rPr>
        <w:t>约占甲状腺癌的</w:t>
      </w:r>
      <w:r>
        <w:t>10</w:t>
      </w:r>
      <w:r>
        <w:rPr>
          <w:rFonts w:ascii="SimSun" w:eastAsia="SimSun" w:hAnsi="SimSun" w:cs="SimSun" w:hint="eastAsia"/>
        </w:rPr>
        <w:t>％</w:t>
      </w:r>
      <w:r>
        <w:t xml:space="preserve"> - 20</w:t>
      </w:r>
      <w:r>
        <w:rPr>
          <w:rFonts w:ascii="SimSun" w:eastAsia="SimSun" w:hAnsi="SimSun" w:cs="SimSun" w:hint="eastAsia"/>
        </w:rPr>
        <w:t>％</w:t>
      </w:r>
      <w:r>
        <w:t>,</w:t>
      </w:r>
      <w:r>
        <w:rPr>
          <w:rFonts w:ascii="SimSun" w:eastAsia="SimSun" w:hAnsi="SimSun" w:cs="SimSun" w:hint="eastAsia"/>
        </w:rPr>
        <w:t>可发生于任何年龄</w:t>
      </w:r>
      <w:r>
        <w:t>,</w:t>
      </w:r>
      <w:r>
        <w:rPr>
          <w:rFonts w:ascii="SimSun" w:eastAsia="SimSun" w:hAnsi="SimSun" w:cs="SimSun" w:hint="eastAsia"/>
        </w:rPr>
        <w:t>一般在缺碘地区较为常见</w:t>
      </w:r>
      <w:r>
        <w:t>,</w:t>
      </w:r>
      <w:r>
        <w:rPr>
          <w:rFonts w:ascii="SimSun" w:eastAsia="SimSun" w:hAnsi="SimSun" w:cs="SimSun" w:hint="eastAsia"/>
        </w:rPr>
        <w:t>且患病人群往往年龄较大</w:t>
      </w:r>
      <w:r>
        <w:t>,</w:t>
      </w:r>
      <w:r>
        <w:rPr>
          <w:rFonts w:ascii="SimSun" w:eastAsia="SimSun" w:hAnsi="SimSun" w:cs="SimSun" w:hint="eastAsia"/>
        </w:rPr>
        <w:t>多发于中、老年女性</w:t>
      </w:r>
      <w:r>
        <w:t>,</w:t>
      </w:r>
      <w:r>
        <w:rPr>
          <w:rFonts w:ascii="SimSun" w:eastAsia="SimSun" w:hAnsi="SimSun" w:cs="SimSun" w:hint="eastAsia"/>
        </w:rPr>
        <w:t>发病的高峰年龄多在</w:t>
      </w:r>
      <w:r>
        <w:t>40 - 60</w:t>
      </w:r>
      <w:r>
        <w:rPr>
          <w:rFonts w:ascii="SimSun" w:eastAsia="SimSun" w:hAnsi="SimSun" w:cs="SimSun" w:hint="eastAsia"/>
        </w:rPr>
        <w:t>岁</w:t>
      </w:r>
      <w:r>
        <w:t>,</w:t>
      </w:r>
      <w:r>
        <w:rPr>
          <w:rFonts w:ascii="SimSun" w:eastAsia="SimSun" w:hAnsi="SimSun" w:cs="SimSun" w:hint="eastAsia"/>
        </w:rPr>
        <w:t>女性患病率约是男性的</w:t>
      </w:r>
      <w:r>
        <w:t>3</w:t>
      </w:r>
      <w:r>
        <w:rPr>
          <w:rFonts w:ascii="SimSun" w:eastAsia="SimSun" w:hAnsi="SimSun" w:cs="SimSun" w:hint="eastAsia"/>
        </w:rPr>
        <w:t>倍。它主要来源于甲状腺滤泡细胞</w:t>
      </w:r>
      <w:r>
        <w:t>,</w:t>
      </w:r>
      <w:r>
        <w:rPr>
          <w:rFonts w:ascii="SimSun" w:eastAsia="SimSun" w:hAnsi="SimSun" w:cs="SimSun" w:hint="eastAsia"/>
        </w:rPr>
        <w:t>在显微镜下看起来都是一个个滤泡。滤泡状癌和乳头状癌的癌细胞生长过程较为缓慢</w:t>
      </w:r>
      <w:r>
        <w:t>,</w:t>
      </w:r>
      <w:r>
        <w:rPr>
          <w:rFonts w:ascii="SimSun" w:eastAsia="SimSun" w:hAnsi="SimSun" w:cs="SimSun" w:hint="eastAsia"/>
        </w:rPr>
        <w:t>它们一起被称为分化型的甲状腺癌</w:t>
      </w:r>
      <w:r>
        <w:t>,</w:t>
      </w:r>
      <w:r>
        <w:rPr>
          <w:rFonts w:ascii="SimSun" w:eastAsia="SimSun" w:hAnsi="SimSun" w:cs="SimSun" w:hint="eastAsia"/>
        </w:rPr>
        <w:t>属于治疗效果比较好</w:t>
      </w:r>
      <w:r>
        <w:t>,</w:t>
      </w:r>
      <w:r>
        <w:rPr>
          <w:rFonts w:ascii="SimSun" w:eastAsia="SimSun" w:hAnsi="SimSun" w:cs="SimSun" w:hint="eastAsia"/>
        </w:rPr>
        <w:t>恶性程度比较低的一种癌。滤泡状癌的十年生存率可高达</w:t>
      </w:r>
      <w:r>
        <w:t>95%</w:t>
      </w:r>
      <w:r>
        <w:rPr>
          <w:rFonts w:ascii="SimSun" w:eastAsia="SimSun" w:hAnsi="SimSun" w:cs="SimSun" w:hint="eastAsia"/>
        </w:rPr>
        <w:t>以上</w:t>
      </w:r>
      <w:r>
        <w:t>,20</w:t>
      </w:r>
      <w:r>
        <w:rPr>
          <w:rFonts w:ascii="SimSun" w:eastAsia="SimSun" w:hAnsi="SimSun" w:cs="SimSun" w:hint="eastAsia"/>
        </w:rPr>
        <w:t>年生存率高达</w:t>
      </w:r>
      <w:r>
        <w:t>78%</w:t>
      </w:r>
      <w:r>
        <w:rPr>
          <w:rFonts w:ascii="SimSun" w:eastAsia="SimSun" w:hAnsi="SimSun" w:cs="SimSun" w:hint="eastAsia"/>
        </w:rPr>
        <w:t>以上。但该类型易通过血行转移至肺或骨骼。</w:t>
      </w:r>
    </w:p>
    <w:p w14:paraId="1454F11E" w14:textId="2F83BDD8" w:rsidR="00CE5FCB" w:rsidRPr="00CE5FCB" w:rsidRDefault="005F53C8" w:rsidP="005F53C8">
      <w:pPr>
        <w:spacing w:line="360" w:lineRule="auto"/>
        <w:jc w:val="both"/>
        <w:rPr>
          <w:rFonts w:ascii="Songti TC" w:eastAsia="Songti TC" w:hAnsi="Songti TC"/>
        </w:rPr>
      </w:pPr>
      <w:r>
        <w:rPr>
          <w:noProof/>
        </w:rPr>
        <w:drawing>
          <wp:inline distT="0" distB="0" distL="0" distR="0" wp14:anchorId="43856AE0" wp14:editId="3EAD0366">
            <wp:extent cx="5943600" cy="3685953"/>
            <wp:effectExtent l="0" t="0" r="0" b="0"/>
            <wp:docPr id="1950147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0">
                      <a:extLst>
                        <a:ext uri="{28A0092B-C50C-407E-A947-70E740481C1C}">
                          <a14:useLocalDpi xmlns:a14="http://schemas.microsoft.com/office/drawing/2010/main" val="0"/>
                        </a:ext>
                      </a:extLst>
                    </a:blip>
                    <a:srcRect b="12290"/>
                    <a:stretch/>
                  </pic:blipFill>
                  <pic:spPr bwMode="auto">
                    <a:xfrm>
                      <a:off x="0" y="0"/>
                      <a:ext cx="5943600" cy="3685953"/>
                    </a:xfrm>
                    <a:prstGeom prst="rect">
                      <a:avLst/>
                    </a:prstGeom>
                    <a:noFill/>
                    <a:ln>
                      <a:noFill/>
                    </a:ln>
                    <a:extLst>
                      <a:ext uri="{53640926-AAD7-44D8-BBD7-CCE9431645EC}">
                        <a14:shadowObscured xmlns:a14="http://schemas.microsoft.com/office/drawing/2010/main"/>
                      </a:ext>
                    </a:extLst>
                  </pic:spPr>
                </pic:pic>
              </a:graphicData>
            </a:graphic>
          </wp:inline>
        </w:drawing>
      </w:r>
    </w:p>
    <w:p w14:paraId="19B2BFC0"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lastRenderedPageBreak/>
        <w:t>2. 甲状腺髓样癌（MTC）</w:t>
      </w:r>
    </w:p>
    <w:p w14:paraId="191A0E67" w14:textId="36187774" w:rsidR="00D62740" w:rsidRPr="00CE5FCB" w:rsidRDefault="00D62740" w:rsidP="005F53C8">
      <w:pPr>
        <w:spacing w:line="360" w:lineRule="auto"/>
        <w:jc w:val="both"/>
        <w:rPr>
          <w:rFonts w:ascii="Songti TC" w:eastAsia="Songti TC" w:hAnsi="Songti TC" w:hint="eastAsia"/>
        </w:rPr>
      </w:pPr>
      <w:r w:rsidRPr="00D62740">
        <w:rPr>
          <w:rFonts w:ascii="Songti TC" w:eastAsia="Songti TC" w:hAnsi="Songti TC" w:hint="eastAsia"/>
        </w:rPr>
        <w:t>起源于滤泡旁细胞，可分为散发性和家族性两种，家族性为常染色体遗传性内分泌综合症。家族性髓样癌多累及双侧甲状腺，而散发性髓样癌常仅累及一侧甲状腺。该类型占所有甲状腺肿瘤的3％ - 5％，发病率比较低，其恶性程度要比甲状腺乳头状癌、滤泡状癌高，但没有未分化癌的恶性程度高，也属于恶化程度比较高的一种肿瘤。这种癌症形成的肿瘤通常会分泌激素和物质，如钙、降钙素等，导致身体出现一系列症状。临床上一般先有甲状腺坚硬结节或局部淋巴结增大，也可经血行向远处扩散。腺体的其他部位也可见癌性病灶，有血管侵袭。可分泌降钙素，但一般血钙正常，不出现低血钙症状；可分泌前列腺素、肾素和血管活性肠肽引起相应症状。甲状腺髓样癌100%存在于多发性内分泌肿瘤(MEN)的2型和3型中，且发病多发生在50岁以上，女性略多于男性。甲状腺髓样癌多有家族史、腹泻病史（20% - 30%患者会有顽固性腹泻，原因不明）、实验室检查降钙素明显高于正常值等特点。此外，甲状腺髓样癌的患者，必须做CEA及甲胎蛋白的检查，这两个实验室检查可以帮助诊断甲状腺髓样癌。如果已经发生远处转移，存活时间就比较少，大约在3年；如果没有发生远处转移，而且又经过手术治疗，且平时监视得比较好，可能有10年以上的存活期。</w:t>
      </w:r>
    </w:p>
    <w:p w14:paraId="7972F6E6" w14:textId="41FAE422"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3. 未分化癌（ATC）</w:t>
      </w:r>
    </w:p>
    <w:p w14:paraId="072724E2" w14:textId="3662C852" w:rsidR="00D62740" w:rsidRPr="00CE5FCB" w:rsidRDefault="00D62740" w:rsidP="005F53C8">
      <w:pPr>
        <w:spacing w:line="360" w:lineRule="auto"/>
        <w:jc w:val="both"/>
        <w:rPr>
          <w:rFonts w:ascii="Songti TC" w:eastAsia="Songti TC" w:hAnsi="Songti TC" w:hint="eastAsia"/>
        </w:rPr>
      </w:pPr>
      <w:r w:rsidRPr="00D62740">
        <w:rPr>
          <w:rFonts w:ascii="Songti TC" w:eastAsia="Songti TC" w:hAnsi="Songti TC" w:hint="eastAsia"/>
        </w:rPr>
        <w:t>又称为间变性癌和肉瘤癌，是一种恶性最高的疾病，较为少见，多发生于40岁以上的女性患者，癌细胞生长速度较快，可在两个月内迅速增大，一般早期的患者就可以有全身的转移。主要特点就是生长快，容易转移。可表现为颈部结节迅速增大，表面凹凸不平、固</w:t>
      </w:r>
      <w:r w:rsidRPr="00D62740">
        <w:rPr>
          <w:rFonts w:ascii="Songti TC" w:eastAsia="Songti TC" w:hAnsi="Songti TC" w:hint="eastAsia"/>
        </w:rPr>
        <w:lastRenderedPageBreak/>
        <w:t>定，局部有压迫感，伴有呼吸困难，声音嘶哑等症状，有颈部疼痛，边界不清等临床症状。未分化癌患者发病时间较短且预后较差，通常一年内患者可出现生命危险，因此未分化癌为甲状腺癌中恶性程度较高、预后较差的类型。一般存活时间为3个月到半年左右，1年内的存活率仅为5% - 15%左右，5年生存率仅有5%，虽根治性手术切除可提高生存率，但局部复发是死亡的主要原因。</w:t>
      </w:r>
    </w:p>
    <w:p w14:paraId="4A76C0B4"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二、碘摄入与甲状腺癌有何关系？需要吃无碘盐吗？</w:t>
      </w:r>
    </w:p>
    <w:p w14:paraId="0764F487" w14:textId="47058A20" w:rsidR="00C539D1"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（一）碘摄入与甲状腺癌的关系</w:t>
      </w:r>
    </w:p>
    <w:p w14:paraId="436660EB"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1. 碘与甲状腺的关系</w:t>
      </w:r>
    </w:p>
    <w:p w14:paraId="1100C3C3" w14:textId="366E567D" w:rsidR="00C539D1" w:rsidRDefault="00C539D1" w:rsidP="005F53C8">
      <w:pPr>
        <w:spacing w:line="360" w:lineRule="auto"/>
        <w:jc w:val="both"/>
        <w:rPr>
          <w:rFonts w:ascii="Songti TC" w:eastAsia="Songti TC" w:hAnsi="Songti TC" w:hint="eastAsia"/>
        </w:rPr>
      </w:pPr>
      <w:r w:rsidRPr="00C539D1">
        <w:rPr>
          <w:rFonts w:ascii="Songti TC" w:eastAsia="Songti TC" w:hAnsi="Songti TC" w:hint="eastAsia"/>
        </w:rPr>
        <w:t>除哺乳期乳腺之外，甲状腺是唯一能和碘发生代谢作用的器官，甲状腺内碘的浓度是血液的40倍，占全身总碘量的70% - 80%。碘进入甲状腺是通过NIS钠碘转运体实现，并在滤泡上皮细胞内生成甲状腺激素。碘除了可以通过食物和饮水进入人体之外，空气环境中的碘可以通过皮肤、呼吸道和黏膜吸收，因此人体内的碘，80 - 90%来自食物，10 - 20%来自饮水，还有不到5%来自环境和空气。</w:t>
      </w:r>
    </w:p>
    <w:p w14:paraId="49A0EF69"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2. 碘摄入与甲状腺疾病的关系</w:t>
      </w:r>
    </w:p>
    <w:p w14:paraId="009C5DA2" w14:textId="21563DAA" w:rsidR="00C539D1" w:rsidRPr="00CE5FCB" w:rsidRDefault="00C539D1" w:rsidP="005F53C8">
      <w:pPr>
        <w:spacing w:line="360" w:lineRule="auto"/>
        <w:jc w:val="both"/>
        <w:rPr>
          <w:rFonts w:ascii="Songti TC" w:eastAsia="Songti TC" w:hAnsi="Songti TC" w:hint="eastAsia"/>
        </w:rPr>
      </w:pPr>
      <w:r w:rsidRPr="00C539D1">
        <w:rPr>
          <w:rFonts w:ascii="Songti TC" w:eastAsia="Songti TC" w:hAnsi="Songti TC" w:hint="eastAsia"/>
        </w:rPr>
        <w:t>碘摄取对于甲状腺疾病来说呈U型曲线，过少或过多摄入都不宜健康。严重缺碘可能增加滤泡癌风险，过量碘与乳头状癌风险升高有关。但适量碘摄入通常安全，不会引发癌症。一些人误认为“少碘防癌”，因此购买无碘盐，这种误解源于对碘与甲状腺疾病关系的错误认识。过度限碘反而可能导致甲状腺功能异常，并不能预防癌症。</w:t>
      </w:r>
    </w:p>
    <w:p w14:paraId="3E0D7965"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lastRenderedPageBreak/>
        <w:t>（1）低碘与甲状腺癌风险</w:t>
      </w:r>
    </w:p>
    <w:p w14:paraId="7DDDFE8B" w14:textId="6B54A50D" w:rsidR="00C539D1" w:rsidRPr="00C539D1" w:rsidRDefault="00C539D1" w:rsidP="00C539D1">
      <w:pPr>
        <w:spacing w:line="360" w:lineRule="auto"/>
        <w:jc w:val="both"/>
        <w:rPr>
          <w:rFonts w:ascii="Songti TC" w:eastAsia="Songti TC" w:hAnsi="Songti TC" w:hint="eastAsia"/>
        </w:rPr>
      </w:pPr>
      <w:r w:rsidRPr="00C539D1">
        <w:rPr>
          <w:rFonts w:ascii="Songti TC" w:eastAsia="Songti TC" w:hAnsi="Songti TC" w:hint="eastAsia"/>
        </w:rPr>
        <w:t xml:space="preserve">滤泡性甲状腺癌：长期严重碘缺乏可能导致甲状腺肿和良性甲状腺疾病，间接增加滤泡癌风险。缺碘环境中，甲状腺滤泡细胞在促甲状腺激素（TSH）刺激下过度增生，可能发展为恶性肿瘤。 </w:t>
      </w:r>
    </w:p>
    <w:p w14:paraId="7E35C3E5" w14:textId="568D7095" w:rsidR="00C539D1" w:rsidRPr="00CE5FCB" w:rsidRDefault="00C539D1" w:rsidP="00C539D1">
      <w:pPr>
        <w:spacing w:line="360" w:lineRule="auto"/>
        <w:jc w:val="both"/>
        <w:rPr>
          <w:rFonts w:ascii="Songti TC" w:eastAsia="Songti TC" w:hAnsi="Songti TC" w:hint="eastAsia"/>
        </w:rPr>
      </w:pPr>
      <w:r w:rsidRPr="00C539D1">
        <w:rPr>
          <w:rFonts w:ascii="Songti TC" w:eastAsia="Songti TC" w:hAnsi="Songti TC" w:hint="eastAsia"/>
        </w:rPr>
        <w:t>母体碘缺乏的影响：妊娠期母体碘缺乏可能通过影响胎儿甲状腺功能，增加后代甲状腺癌风险，尤其是滤泡癌（北欧研究发现，母体甲状腺疾病与后代甲状腺癌显著相关）。</w:t>
      </w:r>
    </w:p>
    <w:p w14:paraId="25F6E0E6"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（2）高碘与甲状腺癌风险</w:t>
      </w:r>
    </w:p>
    <w:p w14:paraId="1F3F1D6C" w14:textId="5E426D8D" w:rsidR="00C539D1" w:rsidRPr="00CE5FCB" w:rsidRDefault="00C539D1" w:rsidP="005F53C8">
      <w:pPr>
        <w:spacing w:line="360" w:lineRule="auto"/>
        <w:jc w:val="both"/>
        <w:rPr>
          <w:rFonts w:ascii="Songti TC" w:eastAsia="Songti TC" w:hAnsi="Songti TC" w:hint="eastAsia"/>
        </w:rPr>
      </w:pPr>
      <w:r w:rsidRPr="00C539D1">
        <w:rPr>
          <w:rFonts w:ascii="Songti TC" w:eastAsia="Songti TC" w:hAnsi="Songti TC" w:hint="eastAsia"/>
        </w:rPr>
        <w:t>在碘充足或过量地区，乳头状癌发病率较高，可能与碘暴露相关，但机制尚不明确。目前无直接证据表明正常碘盐饮食增加普通人群的甲状腺癌风险。有研究对湖南地区超5万多名受试者进行分析，在排除其他影响因素后，发现每日碘盐摄入量&gt;5g是甲状腺结节/甲状腺癌的独立危险因素，也就是说每日过量碘盐的摄入会增加甲状腺结节/甲状腺癌的风险。研究发现，与每日碘盐摄入量&lt;5g的受试者相比，&gt;5g的受试者甲状腺结节的发病风险增加约2倍，甲状腺癌的发病风险增加约5倍。</w:t>
      </w:r>
    </w:p>
    <w:p w14:paraId="0B1E9CCB"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（3）碘摄入对治疗的影响</w:t>
      </w:r>
    </w:p>
    <w:p w14:paraId="3071C4EE" w14:textId="7F9DDC39" w:rsidR="00CE5FCB" w:rsidRPr="00CE5FCB" w:rsidRDefault="00C539D1" w:rsidP="005F53C8">
      <w:pPr>
        <w:spacing w:line="360" w:lineRule="auto"/>
        <w:jc w:val="both"/>
        <w:rPr>
          <w:rFonts w:ascii="Songti TC" w:eastAsia="Songti TC" w:hAnsi="Songti TC"/>
        </w:rPr>
      </w:pPr>
      <w:r w:rsidRPr="00C539D1">
        <w:rPr>
          <w:rFonts w:ascii="Songti TC" w:eastAsia="Songti TC" w:hAnsi="Songti TC" w:hint="eastAsia"/>
        </w:rPr>
        <w:t>碘131治疗前需控制碘摄入（如低碘饮食），以减少稳定碘对放射性碘的竞争，提高疗效。但日常非治疗期正常碘盐饮食对患者尿碘浓度及摄碘率无明显影响。</w:t>
      </w:r>
    </w:p>
    <w:p w14:paraId="179CA63F"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（二）是否需要吃无碘盐？</w:t>
      </w:r>
    </w:p>
    <w:p w14:paraId="3C98FF27" w14:textId="77777777" w:rsidR="00C539D1" w:rsidRPr="00CE5FCB" w:rsidRDefault="00C539D1" w:rsidP="005F53C8">
      <w:pPr>
        <w:spacing w:line="360" w:lineRule="auto"/>
        <w:jc w:val="both"/>
        <w:rPr>
          <w:rFonts w:ascii="Songti TC" w:eastAsia="Songti TC" w:hAnsi="Songti TC" w:hint="eastAsia"/>
        </w:rPr>
      </w:pPr>
    </w:p>
    <w:p w14:paraId="6FA272CF"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lastRenderedPageBreak/>
        <w:t>1. 普通人群</w:t>
      </w:r>
    </w:p>
    <w:p w14:paraId="76A89EB8" w14:textId="06D63C7A"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无需刻意选择无碘盐：中国大部分地区通过食盐加碘预防缺碘性疾病。均衡碘摄入（每日推荐量150μg）是关键，碘过量或缺乏均可能影响甲状腺健康。</w:t>
      </w:r>
    </w:p>
    <w:p w14:paraId="45B1A26D" w14:textId="63DAC147" w:rsidR="000F2708" w:rsidRPr="00CE5FCB" w:rsidRDefault="000F2708" w:rsidP="005F53C8">
      <w:pPr>
        <w:spacing w:line="360" w:lineRule="auto"/>
        <w:jc w:val="both"/>
        <w:rPr>
          <w:rFonts w:ascii="Songti TC" w:eastAsia="Songti TC" w:hAnsi="Songti TC" w:hint="eastAsia"/>
        </w:rPr>
      </w:pPr>
      <w:r w:rsidRPr="000F2708">
        <w:rPr>
          <w:rFonts w:ascii="Songti TC" w:eastAsia="Songti TC" w:hAnsi="Songti TC" w:hint="eastAsia"/>
        </w:rPr>
        <w:t>高危人群：有甲状腺癌家族史或合并自身免疫性甲状腺疾病者建议咨询医生，但无证据支持需常规限碘。</w:t>
      </w:r>
    </w:p>
    <w:p w14:paraId="461B6AAE"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2. 甲状腺癌患者</w:t>
      </w:r>
    </w:p>
    <w:p w14:paraId="23D9BD13" w14:textId="299FC98C"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 xml:space="preserve">碘131治疗前：需严格低碘饮食（每日碘摄入&lt;50μg），禁用含碘药物/造影剂，停用碘盐、海鲜等。此阶段可能需要短期使用无碘盐。 </w:t>
      </w:r>
    </w:p>
    <w:p w14:paraId="55630B8F" w14:textId="7203CF81" w:rsidR="000F2708" w:rsidRPr="00CE5FCB" w:rsidRDefault="000F2708" w:rsidP="005F53C8">
      <w:pPr>
        <w:spacing w:line="360" w:lineRule="auto"/>
        <w:jc w:val="both"/>
        <w:rPr>
          <w:rFonts w:ascii="Songti TC" w:eastAsia="Songti TC" w:hAnsi="Songti TC" w:hint="eastAsia"/>
        </w:rPr>
      </w:pPr>
      <w:r w:rsidRPr="000F2708">
        <w:rPr>
          <w:rFonts w:ascii="Songti TC" w:eastAsia="Songti TC" w:hAnsi="Songti TC" w:hint="eastAsia"/>
        </w:rPr>
        <w:t>非治疗期：术后及未计划碘131治疗者，可恢复正常碘盐饮食，无需长期限制。</w:t>
      </w:r>
    </w:p>
    <w:p w14:paraId="24D87C3D"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3. 特殊地区</w:t>
      </w:r>
    </w:p>
    <w:p w14:paraId="08B8604A" w14:textId="36FABF2C" w:rsidR="000F2708" w:rsidRPr="00CE5FCB" w:rsidRDefault="000F2708" w:rsidP="005F53C8">
      <w:pPr>
        <w:spacing w:line="360" w:lineRule="auto"/>
        <w:jc w:val="both"/>
        <w:rPr>
          <w:rFonts w:ascii="Songti TC" w:eastAsia="Songti TC" w:hAnsi="Songti TC" w:hint="eastAsia"/>
        </w:rPr>
      </w:pPr>
      <w:r w:rsidRPr="000F2708">
        <w:rPr>
          <w:rFonts w:ascii="Songti TC" w:eastAsia="Songti TC" w:hAnsi="Songti TC" w:hint="eastAsia"/>
        </w:rPr>
        <w:t>高碘地区（如部分沿海地区）：若日常饮食含碘丰富（如海产品摄入多），可适量选择无碘盐，但需监测尿碘水平。</w:t>
      </w:r>
    </w:p>
    <w:p w14:paraId="202300A3"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三、甲状腺癌的常见症状是什么？早期和晚期有何不同？</w:t>
      </w:r>
    </w:p>
    <w:p w14:paraId="79DC23D6"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（一）甲状腺癌的常见症状</w:t>
      </w:r>
    </w:p>
    <w:p w14:paraId="33287462" w14:textId="10C0E927" w:rsidR="000F2708" w:rsidRDefault="000F2708" w:rsidP="005F53C8">
      <w:pPr>
        <w:spacing w:line="360" w:lineRule="auto"/>
        <w:jc w:val="both"/>
        <w:rPr>
          <w:rFonts w:ascii="Songti TC" w:eastAsia="Songti TC" w:hAnsi="Songti TC"/>
        </w:rPr>
      </w:pPr>
      <w:r w:rsidRPr="000F2708">
        <w:rPr>
          <w:rFonts w:ascii="Songti TC" w:eastAsia="Songti TC" w:hAnsi="Songti TC" w:hint="eastAsia"/>
        </w:rPr>
        <w:t>甲状腺癌在早期阶段可能不显山露水，很多患者直到体检时通过影像学检查才发现异常，但这并不意味着它完全无迹可寻。甲状腺癌的症状可轻可重，具体表现取决于肿瘤的类型、位置、大小以及是否已经扩散。以下是甲状腺癌可能出现的一些症状：</w:t>
      </w:r>
    </w:p>
    <w:p w14:paraId="1F115A83" w14:textId="366DB92B"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lastRenderedPageBreak/>
        <w:t>颈部肿块：最常见的早期迹象之一是在颈部甲状腺区域摸到无痛的肿块或结节，这些肿块质地通常较硬，边界不清，随时间推移可能逐渐增大。通常结节的直径大于2厘米，生长速度较快，质地不光滑、较硬，并且有实物感，不易活动。</w:t>
      </w:r>
    </w:p>
    <w:p w14:paraId="20D656CD" w14:textId="45891169"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声音改变：肿瘤压迫或侵犯喉返神经时，可能导致声音嘶哑或发音困难。颈部结节、肿块逐渐增长变大，会压迫喉返神经导致声带不能完全闭合，引起声音嘶哑。声音嘶哑持续＞3周，伴发声疲劳，且与普通咽炎不同，无咽痛、咳嗽等上呼吸道症状。</w:t>
      </w:r>
    </w:p>
    <w:p w14:paraId="1E07C547" w14:textId="0C918431"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吞咽困难：随着肿瘤增长，可能会压迫食道，引起吞咽时的异物感或困难。若甲状腺肿块过大侵犯到食管，导致食管变窄，会引起吞咽困难的症状。进食固体食物有哽噎感，逐渐加重至流质饮食困难，连续吞咽3口温水，若出现2次以上呛咳需警惕，此症状常被误认为慢性咽炎，延误诊断平均4.6个月。</w:t>
      </w:r>
    </w:p>
    <w:p w14:paraId="350670BD" w14:textId="74C033D6"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呼吸问题：肿瘤压迫气管可导致呼吸不畅、呼吸困难，严重时可能有咯血现象。若甲状腺肿块侵犯或者压迫到气管，可能会引起呼吸困难的症状，如果出现肺部侵犯，则有可能会出现咳嗽、咯血。</w:t>
      </w:r>
    </w:p>
    <w:p w14:paraId="0849ACF4" w14:textId="33D1052C"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淋巴结肿大：颈部淋巴结无故肿大，尤其是固定、硬实的淋巴结，可能是癌细胞转移的信号。一旦肿瘤侵犯淋巴系统，就有可能转移到颈部淋巴，引起颈部淋巴结肿大。</w:t>
      </w:r>
    </w:p>
    <w:p w14:paraId="03C6A8E3" w14:textId="31F23466"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t>特殊症状：对于髓样癌患者，可能伴有腹泻、面部潮红、心悸等由肿瘤产生的特殊激素引起的症状。部分甲状腺癌患者由于癌细胞分泌的五羟色胺等物质，可能会引起腹泻的症状，这也是甲状腺癌的一个特征性表现。髓样癌可伴腹泻、面色潮红等类癌综合征表现。</w:t>
      </w:r>
    </w:p>
    <w:p w14:paraId="64638610" w14:textId="2D730E24" w:rsidR="000F2708" w:rsidRPr="000F2708" w:rsidRDefault="000F2708" w:rsidP="000F2708">
      <w:pPr>
        <w:spacing w:line="360" w:lineRule="auto"/>
        <w:jc w:val="both"/>
        <w:rPr>
          <w:rFonts w:ascii="Songti TC" w:eastAsia="Songti TC" w:hAnsi="Songti TC" w:hint="eastAsia"/>
        </w:rPr>
      </w:pPr>
      <w:r w:rsidRPr="000F2708">
        <w:rPr>
          <w:rFonts w:ascii="Songti TC" w:eastAsia="Songti TC" w:hAnsi="Songti TC" w:hint="eastAsia"/>
        </w:rPr>
        <w:lastRenderedPageBreak/>
        <w:t>压迫症状：肿瘤较大时，可能压迫到周围的神经或血管，引起颈部、肩部、耳部疼痛，甚至霍纳综合征（一侧面部出汗减少、眼睑下垂等）。甲状腺癌引发的肿块可能会压迫周围的神经组织，导致多处疼痛，如耳朵、枕部、肩部等，以及周围淋巴结疼痛。</w:t>
      </w:r>
    </w:p>
    <w:p w14:paraId="1ACF4953" w14:textId="7E3AB65D" w:rsidR="000F2708" w:rsidRDefault="000F2708" w:rsidP="005F53C8">
      <w:pPr>
        <w:spacing w:line="360" w:lineRule="auto"/>
        <w:jc w:val="both"/>
        <w:rPr>
          <w:rFonts w:ascii="Songti TC" w:eastAsia="Songti TC" w:hAnsi="Songti TC"/>
        </w:rPr>
      </w:pPr>
      <w:r w:rsidRPr="000F2708">
        <w:rPr>
          <w:rFonts w:ascii="Songti TC" w:eastAsia="Songti TC" w:hAnsi="Songti TC" w:hint="eastAsia"/>
        </w:rPr>
        <w:t>全身症状：在少数情况下，尤其是癌症晚期，可能出现体重下降、疲劳、焦虑等全身不适。由于甲状腺癌患者存在吞咽困难的情况，因此可能还会导致患者出现消瘦、乏力等症状，若甲状腺癌出现骨转移还会引起骨痛。</w:t>
      </w:r>
    </w:p>
    <w:p w14:paraId="69D9EB93" w14:textId="55BC4CEF" w:rsidR="000F2708" w:rsidRDefault="000F2708" w:rsidP="000F2708">
      <w:pPr>
        <w:spacing w:line="360" w:lineRule="auto"/>
        <w:jc w:val="center"/>
        <w:rPr>
          <w:rFonts w:ascii="Songti TC" w:eastAsia="Songti TC" w:hAnsi="Songti TC" w:hint="eastAsia"/>
        </w:rPr>
      </w:pPr>
      <w:r>
        <w:rPr>
          <w:noProof/>
        </w:rPr>
        <w:drawing>
          <wp:inline distT="0" distB="0" distL="0" distR="0" wp14:anchorId="0B0E1E57" wp14:editId="26FF4EA0">
            <wp:extent cx="3678865" cy="3273028"/>
            <wp:effectExtent l="0" t="0" r="0" b="0"/>
            <wp:docPr id="111553260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2609" name="Picture 7" descr="A screen shot of a computer&#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b="5638"/>
                    <a:stretch/>
                  </pic:blipFill>
                  <pic:spPr bwMode="auto">
                    <a:xfrm>
                      <a:off x="0" y="0"/>
                      <a:ext cx="3697615" cy="3289709"/>
                    </a:xfrm>
                    <a:prstGeom prst="rect">
                      <a:avLst/>
                    </a:prstGeom>
                    <a:noFill/>
                    <a:ln>
                      <a:noFill/>
                    </a:ln>
                    <a:extLst>
                      <a:ext uri="{53640926-AAD7-44D8-BBD7-CCE9431645EC}">
                        <a14:shadowObscured xmlns:a14="http://schemas.microsoft.com/office/drawing/2010/main"/>
                      </a:ext>
                    </a:extLst>
                  </pic:spPr>
                </pic:pic>
              </a:graphicData>
            </a:graphic>
          </wp:inline>
        </w:drawing>
      </w:r>
    </w:p>
    <w:p w14:paraId="0D57B28B"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（二）早期与晚期的差异</w:t>
      </w:r>
    </w:p>
    <w:tbl>
      <w:tblPr>
        <w:tblStyle w:val="GridTable1Light-Accent4"/>
        <w:tblW w:w="0" w:type="auto"/>
        <w:tblLook w:val="04A0" w:firstRow="1" w:lastRow="0" w:firstColumn="1" w:lastColumn="0" w:noHBand="0" w:noVBand="1"/>
      </w:tblPr>
      <w:tblGrid>
        <w:gridCol w:w="778"/>
        <w:gridCol w:w="3570"/>
        <w:gridCol w:w="5002"/>
      </w:tblGrid>
      <w:tr w:rsidR="00F66CE3" w:rsidRPr="00F66CE3" w14:paraId="348F992E" w14:textId="77777777" w:rsidTr="00F66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651BBF" w14:textId="77777777" w:rsidR="00F66CE3" w:rsidRPr="00F66CE3" w:rsidRDefault="00F66CE3" w:rsidP="00F66CE3">
            <w:pPr>
              <w:rPr>
                <w:rFonts w:ascii="Times New Roman" w:eastAsia="Times New Roman" w:hAnsi="Times New Roman" w:cs="Times New Roman"/>
                <w:kern w:val="0"/>
                <w14:ligatures w14:val="none"/>
              </w:rPr>
            </w:pPr>
            <w:r w:rsidRPr="00F66CE3">
              <w:rPr>
                <w:rFonts w:ascii="SimSun" w:eastAsia="SimSun" w:hAnsi="SimSun" w:cs="SimSun" w:hint="eastAsia"/>
                <w:kern w:val="0"/>
                <w14:ligatures w14:val="none"/>
              </w:rPr>
              <w:t>特</w:t>
            </w:r>
            <w:r w:rsidRPr="00F66CE3">
              <w:rPr>
                <w:rFonts w:ascii="SimSun" w:eastAsia="SimSun" w:hAnsi="SimSun" w:cs="SimSun"/>
                <w:kern w:val="0"/>
                <w14:ligatures w14:val="none"/>
              </w:rPr>
              <w:t>征</w:t>
            </w:r>
          </w:p>
        </w:tc>
        <w:tc>
          <w:tcPr>
            <w:tcW w:w="0" w:type="auto"/>
            <w:hideMark/>
          </w:tcPr>
          <w:p w14:paraId="40E626CF" w14:textId="77777777" w:rsidR="00F66CE3" w:rsidRPr="00F66CE3" w:rsidRDefault="00F66CE3" w:rsidP="00F66CE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早期</w:t>
            </w:r>
          </w:p>
        </w:tc>
        <w:tc>
          <w:tcPr>
            <w:tcW w:w="0" w:type="auto"/>
            <w:hideMark/>
          </w:tcPr>
          <w:p w14:paraId="586BA46C" w14:textId="77777777" w:rsidR="00F66CE3" w:rsidRPr="00F66CE3" w:rsidRDefault="00F66CE3" w:rsidP="00F66CE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晚期</w:t>
            </w:r>
          </w:p>
        </w:tc>
      </w:tr>
      <w:tr w:rsidR="00F66CE3" w:rsidRPr="00F66CE3" w14:paraId="6CFA7105" w14:textId="77777777" w:rsidTr="00F66CE3">
        <w:tc>
          <w:tcPr>
            <w:cnfStyle w:val="001000000000" w:firstRow="0" w:lastRow="0" w:firstColumn="1" w:lastColumn="0" w:oddVBand="0" w:evenVBand="0" w:oddHBand="0" w:evenHBand="0" w:firstRowFirstColumn="0" w:firstRowLastColumn="0" w:lastRowFirstColumn="0" w:lastRowLastColumn="0"/>
            <w:tcW w:w="0" w:type="auto"/>
            <w:hideMark/>
          </w:tcPr>
          <w:p w14:paraId="03F43A4E" w14:textId="77777777" w:rsidR="00F66CE3" w:rsidRPr="00F66CE3" w:rsidRDefault="00F66CE3" w:rsidP="00F66CE3">
            <w:pPr>
              <w:rPr>
                <w:rFonts w:ascii="Times New Roman" w:eastAsia="Times New Roman" w:hAnsi="Times New Roman" w:cs="Times New Roman"/>
                <w:kern w:val="0"/>
                <w14:ligatures w14:val="none"/>
              </w:rPr>
            </w:pPr>
            <w:r w:rsidRPr="00F66CE3">
              <w:rPr>
                <w:rFonts w:ascii="SimSun" w:eastAsia="SimSun" w:hAnsi="SimSun" w:cs="SimSun"/>
                <w:kern w:val="0"/>
                <w14:ligatures w14:val="none"/>
              </w:rPr>
              <w:t>临床症状</w:t>
            </w:r>
          </w:p>
        </w:tc>
        <w:tc>
          <w:tcPr>
            <w:tcW w:w="0" w:type="auto"/>
            <w:hideMark/>
          </w:tcPr>
          <w:p w14:paraId="4B6D657A"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color w:val="8F8F8F"/>
                <w:kern w:val="0"/>
                <w14:ligatures w14:val="none"/>
              </w:rPr>
              <w:t>多无症状，通过体检发现甲状腺结节，可能表现为颈部无痛性肿块，质硬，随吞咽移动。</w:t>
            </w:r>
          </w:p>
        </w:tc>
        <w:tc>
          <w:tcPr>
            <w:tcW w:w="0" w:type="auto"/>
            <w:hideMark/>
          </w:tcPr>
          <w:p w14:paraId="3EDADA6E"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color w:val="8F8F8F"/>
                <w:kern w:val="0"/>
                <w14:ligatures w14:val="none"/>
              </w:rPr>
              <w:t>局部肿块疼痛、压迫症状（呼吸困难、吞咽困难）、声音嘶哑、神经压迫综合征，还可能出现远处转移引起的咳嗽或骨痛等。</w:t>
            </w:r>
          </w:p>
        </w:tc>
      </w:tr>
      <w:tr w:rsidR="00F66CE3" w:rsidRPr="00F66CE3" w14:paraId="1EA0E7E4" w14:textId="77777777" w:rsidTr="00F66CE3">
        <w:tc>
          <w:tcPr>
            <w:cnfStyle w:val="001000000000" w:firstRow="0" w:lastRow="0" w:firstColumn="1" w:lastColumn="0" w:oddVBand="0" w:evenVBand="0" w:oddHBand="0" w:evenHBand="0" w:firstRowFirstColumn="0" w:firstRowLastColumn="0" w:lastRowFirstColumn="0" w:lastRowLastColumn="0"/>
            <w:tcW w:w="0" w:type="auto"/>
            <w:hideMark/>
          </w:tcPr>
          <w:p w14:paraId="5ECEBC75" w14:textId="77777777" w:rsidR="00F66CE3" w:rsidRPr="00F66CE3" w:rsidRDefault="00F66CE3" w:rsidP="00F66CE3">
            <w:pPr>
              <w:rPr>
                <w:rFonts w:ascii="Times New Roman" w:eastAsia="Times New Roman" w:hAnsi="Times New Roman" w:cs="Times New Roman"/>
                <w:kern w:val="0"/>
                <w14:ligatures w14:val="none"/>
              </w:rPr>
            </w:pPr>
            <w:r w:rsidRPr="00F66CE3">
              <w:rPr>
                <w:rFonts w:ascii="SimSun" w:eastAsia="SimSun" w:hAnsi="SimSun" w:cs="SimSun"/>
                <w:kern w:val="0"/>
                <w14:ligatures w14:val="none"/>
              </w:rPr>
              <w:t>肿块活动度</w:t>
            </w:r>
          </w:p>
        </w:tc>
        <w:tc>
          <w:tcPr>
            <w:tcW w:w="0" w:type="auto"/>
            <w:hideMark/>
          </w:tcPr>
          <w:p w14:paraId="3C20C712"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随吞咽移动。</w:t>
            </w:r>
          </w:p>
        </w:tc>
        <w:tc>
          <w:tcPr>
            <w:tcW w:w="0" w:type="auto"/>
            <w:hideMark/>
          </w:tcPr>
          <w:p w14:paraId="5081CCF6"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固定，活动度差。</w:t>
            </w:r>
          </w:p>
        </w:tc>
      </w:tr>
      <w:tr w:rsidR="00F66CE3" w:rsidRPr="00F66CE3" w14:paraId="752341CF" w14:textId="77777777" w:rsidTr="00F66CE3">
        <w:tc>
          <w:tcPr>
            <w:cnfStyle w:val="001000000000" w:firstRow="0" w:lastRow="0" w:firstColumn="1" w:lastColumn="0" w:oddVBand="0" w:evenVBand="0" w:oddHBand="0" w:evenHBand="0" w:firstRowFirstColumn="0" w:firstRowLastColumn="0" w:lastRowFirstColumn="0" w:lastRowLastColumn="0"/>
            <w:tcW w:w="0" w:type="auto"/>
            <w:hideMark/>
          </w:tcPr>
          <w:p w14:paraId="1DECC63C" w14:textId="77777777" w:rsidR="00F66CE3" w:rsidRPr="00F66CE3" w:rsidRDefault="00F66CE3" w:rsidP="00F66CE3">
            <w:pPr>
              <w:rPr>
                <w:rFonts w:ascii="Times New Roman" w:eastAsia="Times New Roman" w:hAnsi="Times New Roman" w:cs="Times New Roman"/>
                <w:kern w:val="0"/>
                <w14:ligatures w14:val="none"/>
              </w:rPr>
            </w:pPr>
            <w:r w:rsidRPr="00F66CE3">
              <w:rPr>
                <w:rFonts w:ascii="SimSun" w:eastAsia="SimSun" w:hAnsi="SimSun" w:cs="SimSun"/>
                <w:kern w:val="0"/>
                <w14:ligatures w14:val="none"/>
              </w:rPr>
              <w:lastRenderedPageBreak/>
              <w:t>淋巴结转移</w:t>
            </w:r>
          </w:p>
        </w:tc>
        <w:tc>
          <w:tcPr>
            <w:tcW w:w="0" w:type="auto"/>
            <w:hideMark/>
          </w:tcPr>
          <w:p w14:paraId="1F7DAC50"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少见。</w:t>
            </w:r>
          </w:p>
        </w:tc>
        <w:tc>
          <w:tcPr>
            <w:tcW w:w="0" w:type="auto"/>
            <w:hideMark/>
          </w:tcPr>
          <w:p w14:paraId="33483B9A"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常见（尤其未分化癌较早出现）。</w:t>
            </w:r>
          </w:p>
        </w:tc>
      </w:tr>
      <w:tr w:rsidR="00F66CE3" w:rsidRPr="00F66CE3" w14:paraId="7FF910F4" w14:textId="77777777" w:rsidTr="00F66CE3">
        <w:tc>
          <w:tcPr>
            <w:cnfStyle w:val="001000000000" w:firstRow="0" w:lastRow="0" w:firstColumn="1" w:lastColumn="0" w:oddVBand="0" w:evenVBand="0" w:oddHBand="0" w:evenHBand="0" w:firstRowFirstColumn="0" w:firstRowLastColumn="0" w:lastRowFirstColumn="0" w:lastRowLastColumn="0"/>
            <w:tcW w:w="0" w:type="auto"/>
            <w:hideMark/>
          </w:tcPr>
          <w:p w14:paraId="64A08B3F" w14:textId="77777777" w:rsidR="00F66CE3" w:rsidRPr="00F66CE3" w:rsidRDefault="00F66CE3" w:rsidP="00F66CE3">
            <w:pPr>
              <w:rPr>
                <w:rFonts w:ascii="Times New Roman" w:eastAsia="Times New Roman" w:hAnsi="Times New Roman" w:cs="Times New Roman"/>
                <w:kern w:val="0"/>
                <w14:ligatures w14:val="none"/>
              </w:rPr>
            </w:pPr>
            <w:r w:rsidRPr="00F66CE3">
              <w:rPr>
                <w:rFonts w:ascii="SimSun" w:eastAsia="SimSun" w:hAnsi="SimSun" w:cs="SimSun"/>
                <w:kern w:val="0"/>
                <w14:ligatures w14:val="none"/>
              </w:rPr>
              <w:t>远处转移</w:t>
            </w:r>
          </w:p>
        </w:tc>
        <w:tc>
          <w:tcPr>
            <w:tcW w:w="0" w:type="auto"/>
            <w:hideMark/>
          </w:tcPr>
          <w:p w14:paraId="7E0AE30C"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罕见。</w:t>
            </w:r>
          </w:p>
        </w:tc>
        <w:tc>
          <w:tcPr>
            <w:tcW w:w="0" w:type="auto"/>
            <w:hideMark/>
          </w:tcPr>
          <w:p w14:paraId="02B54A89"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肺、骨、脑等远处转移风险增加。</w:t>
            </w:r>
          </w:p>
        </w:tc>
      </w:tr>
      <w:tr w:rsidR="00F66CE3" w:rsidRPr="00F66CE3" w14:paraId="15FA2229" w14:textId="77777777" w:rsidTr="00F66CE3">
        <w:tc>
          <w:tcPr>
            <w:cnfStyle w:val="001000000000" w:firstRow="0" w:lastRow="0" w:firstColumn="1" w:lastColumn="0" w:oddVBand="0" w:evenVBand="0" w:oddHBand="0" w:evenHBand="0" w:firstRowFirstColumn="0" w:firstRowLastColumn="0" w:lastRowFirstColumn="0" w:lastRowLastColumn="0"/>
            <w:tcW w:w="0" w:type="auto"/>
            <w:hideMark/>
          </w:tcPr>
          <w:p w14:paraId="110C60C6" w14:textId="77777777" w:rsidR="00F66CE3" w:rsidRPr="00F66CE3" w:rsidRDefault="00F66CE3" w:rsidP="00F66CE3">
            <w:pPr>
              <w:rPr>
                <w:rFonts w:ascii="Times New Roman" w:eastAsia="Times New Roman" w:hAnsi="Times New Roman" w:cs="Times New Roman"/>
                <w:kern w:val="0"/>
                <w14:ligatures w14:val="none"/>
              </w:rPr>
            </w:pPr>
            <w:r w:rsidRPr="00F66CE3">
              <w:rPr>
                <w:rFonts w:ascii="SimSun" w:eastAsia="SimSun" w:hAnsi="SimSun" w:cs="SimSun"/>
                <w:kern w:val="0"/>
                <w14:ligatures w14:val="none"/>
              </w:rPr>
              <w:t>并发症</w:t>
            </w:r>
          </w:p>
        </w:tc>
        <w:tc>
          <w:tcPr>
            <w:tcW w:w="0" w:type="auto"/>
            <w:hideMark/>
          </w:tcPr>
          <w:p w14:paraId="22E94733"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罕见。</w:t>
            </w:r>
          </w:p>
        </w:tc>
        <w:tc>
          <w:tcPr>
            <w:tcW w:w="0" w:type="auto"/>
            <w:hideMark/>
          </w:tcPr>
          <w:p w14:paraId="6A5D3D00" w14:textId="77777777" w:rsidR="00F66CE3" w:rsidRPr="00F66CE3" w:rsidRDefault="00F66CE3" w:rsidP="00F66CE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14:ligatures w14:val="none"/>
              </w:rPr>
            </w:pPr>
            <w:r w:rsidRPr="00F66CE3">
              <w:rPr>
                <w:rFonts w:ascii="SimSun" w:eastAsia="SimSun" w:hAnsi="SimSun" w:cs="SimSun"/>
                <w:kern w:val="0"/>
                <w14:ligatures w14:val="none"/>
              </w:rPr>
              <w:t>电解质紊乱（</w:t>
            </w:r>
            <w:r w:rsidRPr="00F66CE3">
              <w:rPr>
                <w:rFonts w:ascii="Times New Roman" w:eastAsia="Times New Roman" w:hAnsi="Times New Roman" w:cs="Times New Roman"/>
                <w:kern w:val="0"/>
                <w14:ligatures w14:val="none"/>
              </w:rPr>
              <w:t>MTC</w:t>
            </w:r>
            <w:r w:rsidRPr="00F66CE3">
              <w:rPr>
                <w:rFonts w:ascii="SimSun" w:eastAsia="SimSun" w:hAnsi="SimSun" w:cs="SimSun"/>
                <w:kern w:val="0"/>
                <w14:ligatures w14:val="none"/>
              </w:rPr>
              <w:t>腹泻）、重度呼吸困难（未分化癌）。</w:t>
            </w:r>
          </w:p>
        </w:tc>
      </w:tr>
    </w:tbl>
    <w:p w14:paraId="3AE9262C" w14:textId="77777777" w:rsidR="000F2708" w:rsidRPr="00CE5FCB" w:rsidRDefault="000F2708" w:rsidP="005F53C8">
      <w:pPr>
        <w:spacing w:line="360" w:lineRule="auto"/>
        <w:jc w:val="both"/>
        <w:rPr>
          <w:rFonts w:ascii="Songti TC" w:eastAsia="Songti TC" w:hAnsi="Songti TC" w:hint="eastAsia"/>
        </w:rPr>
      </w:pPr>
    </w:p>
    <w:p w14:paraId="78694440"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四、哪些人群是甲状腺癌的高危人群？如何预防？</w:t>
      </w:r>
    </w:p>
    <w:p w14:paraId="796C4F92"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（一）甲状腺癌高危人群</w:t>
      </w:r>
    </w:p>
    <w:p w14:paraId="5BEB696C" w14:textId="77777777" w:rsidR="00F66CE3" w:rsidRPr="00F66CE3" w:rsidRDefault="00F66CE3" w:rsidP="00F66CE3">
      <w:pPr>
        <w:pStyle w:val="break-words"/>
        <w:numPr>
          <w:ilvl w:val="0"/>
          <w:numId w:val="27"/>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辐射暴露史：</w:t>
      </w:r>
    </w:p>
    <w:p w14:paraId="713828E7" w14:textId="77777777" w:rsidR="00F66CE3" w:rsidRPr="00F66CE3" w:rsidRDefault="00F66CE3" w:rsidP="00F66CE3">
      <w:pPr>
        <w:pStyle w:val="break-words"/>
        <w:numPr>
          <w:ilvl w:val="0"/>
          <w:numId w:val="38"/>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童年期有头颈部放射线照射史或放射性尘埃接触史；</w:t>
      </w:r>
    </w:p>
    <w:p w14:paraId="12860980" w14:textId="77777777" w:rsidR="00F66CE3" w:rsidRPr="00F66CE3" w:rsidRDefault="00F66CE3" w:rsidP="00F66CE3">
      <w:pPr>
        <w:pStyle w:val="break-words"/>
        <w:numPr>
          <w:ilvl w:val="0"/>
          <w:numId w:val="38"/>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全身放射治疗史。放射科医生、核电站工作人员、航空机组人员等职业暴露群体，若儿童期接受＞10mSv辐射量，甲状腺癌风险增加2.6倍，从事相关职业者需每年进行甲状腺超声筛查，佩戴个人剂量计。</w:t>
      </w:r>
    </w:p>
    <w:p w14:paraId="3B273669" w14:textId="77777777" w:rsidR="00F66CE3" w:rsidRPr="00F66CE3" w:rsidRDefault="00F66CE3" w:rsidP="00F66CE3">
      <w:pPr>
        <w:pStyle w:val="break-words"/>
        <w:numPr>
          <w:ilvl w:val="0"/>
          <w:numId w:val="30"/>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遗传及家族因素：</w:t>
      </w:r>
    </w:p>
    <w:p w14:paraId="6A5F3BD9" w14:textId="77777777" w:rsidR="00F66CE3" w:rsidRPr="00F66CE3" w:rsidRDefault="00F66CE3" w:rsidP="00F66CE3">
      <w:pPr>
        <w:pStyle w:val="break-words"/>
        <w:numPr>
          <w:ilvl w:val="0"/>
          <w:numId w:val="39"/>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分化型甲状腺癌（DTC）、甲状腺髓样癌（MTC）、多发性内分泌腺瘤病</w:t>
      </w:r>
      <w:r w:rsidRPr="00F66CE3">
        <w:rPr>
          <w:rFonts w:eastAsiaTheme="majorEastAsia" w:cstheme="minorBidi"/>
          <w:kern w:val="2"/>
          <w14:ligatures w14:val="standardContextual"/>
        </w:rPr>
        <w:t>2</w:t>
      </w:r>
      <w:r w:rsidRPr="00F66CE3">
        <w:rPr>
          <w:rFonts w:eastAsiaTheme="majorEastAsia" w:cstheme="minorBidi"/>
          <w:kern w:val="2"/>
          <w14:ligatures w14:val="standardContextual"/>
        </w:rPr>
        <w:t>型（</w:t>
      </w:r>
      <w:r w:rsidRPr="00F66CE3">
        <w:rPr>
          <w:rFonts w:ascii="Songti TC" w:eastAsia="Songti TC" w:hAnsi="Songti TC" w:cstheme="minorBidi"/>
          <w:kern w:val="2"/>
          <w14:ligatures w14:val="standardContextual"/>
        </w:rPr>
        <w:t>MEN2）的既往史或家族史；</w:t>
      </w:r>
    </w:p>
    <w:p w14:paraId="6287EEA3" w14:textId="77777777" w:rsidR="00F66CE3" w:rsidRPr="00F66CE3" w:rsidRDefault="00F66CE3" w:rsidP="00F66CE3">
      <w:pPr>
        <w:pStyle w:val="break-words"/>
        <w:numPr>
          <w:ilvl w:val="0"/>
          <w:numId w:val="39"/>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家族性多发性息肉病；</w:t>
      </w:r>
    </w:p>
    <w:p w14:paraId="13DAD841" w14:textId="77777777" w:rsidR="00F66CE3" w:rsidRPr="00F66CE3" w:rsidRDefault="00F66CE3" w:rsidP="00F66CE3">
      <w:pPr>
        <w:pStyle w:val="break-words"/>
        <w:numPr>
          <w:ilvl w:val="0"/>
          <w:numId w:val="39"/>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某些甲状腺癌综合征（如多发性错构瘤综合征、卡尼综合征、维尔纳综合征、加德纳综合征等）。一级亲属患甲状腺癌，个人风险增加5 - 8倍；RET原癌基因突变者90%会发展成髓样癌，有家族史者应从20岁起每年进行颈部超声 + 降钙素检测。</w:t>
      </w:r>
    </w:p>
    <w:p w14:paraId="4DA704D0" w14:textId="09FBF080" w:rsidR="00F66CE3" w:rsidRPr="00F66CE3" w:rsidRDefault="00F66CE3" w:rsidP="00F66CE3">
      <w:pPr>
        <w:pStyle w:val="break-words"/>
        <w:numPr>
          <w:ilvl w:val="0"/>
          <w:numId w:val="30"/>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基因相关风险：携带胚系RET基因变异（尤其与遗传性MTC相关）的一级亲属。</w:t>
      </w:r>
    </w:p>
    <w:p w14:paraId="1B70792E" w14:textId="1E3108EF" w:rsidR="00F66CE3" w:rsidRPr="00F66CE3" w:rsidRDefault="00F66CE3" w:rsidP="00F66CE3">
      <w:pPr>
        <w:pStyle w:val="break-words"/>
        <w:numPr>
          <w:ilvl w:val="0"/>
          <w:numId w:val="30"/>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lastRenderedPageBreak/>
        <w:t>代谢失衡人群：BMI＞28者患病风险增加33%，腹型肥胖（男性腰围＞90cm，女性＞85cm）风险更高。脂肪组织分泌的瘦素会激活胰岛素样生长因子 - 1（IGF - 1），促进甲状腺细胞增殖。此外，体重快速下降（3个月＞10%）也可能诱发甲状腺病变，需避免极端减肥。</w:t>
      </w:r>
    </w:p>
    <w:p w14:paraId="44E5967A" w14:textId="77777777" w:rsidR="00F66CE3" w:rsidRPr="00F66CE3" w:rsidRDefault="00F66CE3" w:rsidP="00F66CE3">
      <w:pPr>
        <w:pStyle w:val="break-words"/>
        <w:numPr>
          <w:ilvl w:val="0"/>
          <w:numId w:val="30"/>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碘摄入极端者：碘过量（＞300μg/日）增加乳头状癌风险，沿海地区居民需警惕；碘缺乏（＜50μg/日），滤泡状癌发病率升高，内陆山区人群高发。</w:t>
      </w:r>
    </w:p>
    <w:p w14:paraId="3F21A158" w14:textId="769963B2" w:rsidR="00F66CE3" w:rsidRDefault="00F66CE3" w:rsidP="00F66CE3">
      <w:pPr>
        <w:pStyle w:val="break-words"/>
        <w:numPr>
          <w:ilvl w:val="0"/>
          <w:numId w:val="30"/>
        </w:numPr>
        <w:rPr>
          <w:rFonts w:ascii="Songti TC" w:eastAsia="Songti TC" w:hAnsi="Songti TC" w:cstheme="minorBidi"/>
          <w:kern w:val="2"/>
          <w14:ligatures w14:val="standardContextual"/>
        </w:rPr>
      </w:pPr>
      <w:r w:rsidRPr="00F66CE3">
        <w:rPr>
          <w:rFonts w:ascii="Songti TC" w:eastAsia="Songti TC" w:hAnsi="Songti TC" w:cstheme="minorBidi"/>
          <w:kern w:val="2"/>
          <w14:ligatures w14:val="standardContextual"/>
        </w:rPr>
        <w:t>情绪敏感人群：女性患病率是男性3倍，更年期女性风险激增。慢性压力导致皮质醇持续升高，抑制NK细胞活性，降低免疫监视。每日15分钟正念冥想可使甲状腺抗体水平下降27%。</w:t>
      </w:r>
    </w:p>
    <w:p w14:paraId="21E6C763" w14:textId="6275FA4B" w:rsidR="00F66CE3" w:rsidRPr="00F66CE3" w:rsidRDefault="00D03FFE" w:rsidP="00F66CE3">
      <w:pPr>
        <w:pStyle w:val="break-words"/>
        <w:ind w:left="720"/>
        <w:jc w:val="center"/>
        <w:rPr>
          <w:rFonts w:ascii="Songti TC" w:eastAsia="Songti TC" w:hAnsi="Songti TC" w:cstheme="minorBidi" w:hint="eastAsia"/>
          <w:kern w:val="2"/>
          <w14:ligatures w14:val="standardContextual"/>
        </w:rPr>
      </w:pPr>
      <w:r>
        <w:rPr>
          <w:noProof/>
        </w:rPr>
        <w:drawing>
          <wp:inline distT="0" distB="0" distL="0" distR="0" wp14:anchorId="2CA383D9" wp14:editId="7E3EC4EF">
            <wp:extent cx="3494568" cy="3288270"/>
            <wp:effectExtent l="0" t="0" r="0" b="1270"/>
            <wp:docPr id="83918628" name="Picture 10"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8628" name="Picture 10" descr="A screen shot of a diagram&#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b="4423"/>
                    <a:stretch/>
                  </pic:blipFill>
                  <pic:spPr bwMode="auto">
                    <a:xfrm>
                      <a:off x="0" y="0"/>
                      <a:ext cx="3523164" cy="3315178"/>
                    </a:xfrm>
                    <a:prstGeom prst="rect">
                      <a:avLst/>
                    </a:prstGeom>
                    <a:noFill/>
                    <a:ln>
                      <a:noFill/>
                    </a:ln>
                    <a:extLst>
                      <a:ext uri="{53640926-AAD7-44D8-BBD7-CCE9431645EC}">
                        <a14:shadowObscured xmlns:a14="http://schemas.microsoft.com/office/drawing/2010/main"/>
                      </a:ext>
                    </a:extLst>
                  </pic:spPr>
                </pic:pic>
              </a:graphicData>
            </a:graphic>
          </wp:inline>
        </w:drawing>
      </w:r>
    </w:p>
    <w:p w14:paraId="4B358BB3"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（二）预防措施</w:t>
      </w:r>
    </w:p>
    <w:p w14:paraId="603D2F03"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1. 筛查监测</w:t>
      </w:r>
    </w:p>
    <w:p w14:paraId="576D585A" w14:textId="2AF3587A" w:rsidR="00D03FFE" w:rsidRDefault="00D03FFE" w:rsidP="00D03FFE">
      <w:pPr>
        <w:spacing w:line="360" w:lineRule="auto"/>
        <w:jc w:val="both"/>
        <w:rPr>
          <w:rFonts w:ascii="Songti TC" w:eastAsia="Songti TC" w:hAnsi="Songti TC"/>
        </w:rPr>
      </w:pPr>
      <w:r w:rsidRPr="00D03FFE">
        <w:rPr>
          <w:rFonts w:ascii="Songti TC" w:eastAsia="Songti TC" w:hAnsi="Songti TC" w:hint="eastAsia"/>
        </w:rPr>
        <w:t>高危人群筛查：</w:t>
      </w:r>
    </w:p>
    <w:p w14:paraId="18E358A7" w14:textId="77777777" w:rsidR="00D03FFE" w:rsidRPr="00D03FFE" w:rsidRDefault="00D03FFE" w:rsidP="00D03FFE">
      <w:pPr>
        <w:pStyle w:val="ListParagraph"/>
        <w:numPr>
          <w:ilvl w:val="0"/>
          <w:numId w:val="46"/>
        </w:numPr>
        <w:spacing w:line="360" w:lineRule="auto"/>
        <w:jc w:val="both"/>
        <w:rPr>
          <w:rFonts w:ascii="Songti TC" w:eastAsia="Songti TC" w:hAnsi="Songti TC" w:hint="eastAsia"/>
        </w:rPr>
      </w:pPr>
      <w:r w:rsidRPr="00D03FFE">
        <w:rPr>
          <w:rFonts w:ascii="Songti TC" w:eastAsia="Songti TC" w:hAnsi="Songti TC" w:hint="eastAsia"/>
        </w:rPr>
        <w:lastRenderedPageBreak/>
        <w:t>颈部超声检查：作为首选影像学手段，定期进行甲状腺及淋巴结超声评估。20 - 29岁每年进行颈部超声检查；30岁以上每年进行甲功七项 + 超声检查，每2年进行弹性成像检查；备孕女性孕前必须检查甲状腺抗体。</w:t>
      </w:r>
    </w:p>
    <w:p w14:paraId="64CCBDFB" w14:textId="77777777" w:rsidR="00D03FFE" w:rsidRPr="00D03FFE" w:rsidRDefault="00D03FFE" w:rsidP="00D03FFE">
      <w:pPr>
        <w:pStyle w:val="ListParagraph"/>
        <w:numPr>
          <w:ilvl w:val="0"/>
          <w:numId w:val="46"/>
        </w:numPr>
        <w:spacing w:line="360" w:lineRule="auto"/>
        <w:jc w:val="both"/>
        <w:rPr>
          <w:rFonts w:ascii="Songti TC" w:eastAsia="Songti TC" w:hAnsi="Songti TC" w:hint="eastAsia"/>
        </w:rPr>
      </w:pPr>
      <w:r w:rsidRPr="00D03FFE">
        <w:rPr>
          <w:rFonts w:ascii="Songti TC" w:eastAsia="Songti TC" w:hAnsi="Songti TC" w:hint="eastAsia"/>
        </w:rPr>
        <w:t xml:space="preserve">血清标志物检测：如血清降钙素（Ctn）用于MTC的早期发现。 </w:t>
      </w:r>
    </w:p>
    <w:p w14:paraId="1DA132AF" w14:textId="77777777" w:rsidR="00D03FFE" w:rsidRPr="00D03FFE" w:rsidRDefault="00D03FFE" w:rsidP="00D03FFE">
      <w:pPr>
        <w:pStyle w:val="ListParagraph"/>
        <w:numPr>
          <w:ilvl w:val="0"/>
          <w:numId w:val="46"/>
        </w:numPr>
        <w:spacing w:line="360" w:lineRule="auto"/>
        <w:jc w:val="both"/>
        <w:rPr>
          <w:rFonts w:ascii="Songti TC" w:eastAsia="Songti TC" w:hAnsi="Songti TC" w:hint="eastAsia"/>
        </w:rPr>
      </w:pPr>
      <w:r w:rsidRPr="00D03FFE">
        <w:rPr>
          <w:rFonts w:ascii="Songti TC" w:eastAsia="Songti TC" w:hAnsi="Songti TC" w:hint="eastAsia"/>
        </w:rPr>
        <w:t xml:space="preserve">基因检测：推荐遗传性MTC高危人群（如MEN2家庭）进行RET基因检测，明确风险分层。 </w:t>
      </w:r>
    </w:p>
    <w:p w14:paraId="43ACCE26" w14:textId="21B788D3" w:rsidR="00D03FFE" w:rsidRPr="00CE5FCB" w:rsidRDefault="00D03FFE" w:rsidP="005F53C8">
      <w:pPr>
        <w:spacing w:line="360" w:lineRule="auto"/>
        <w:jc w:val="both"/>
        <w:rPr>
          <w:rFonts w:ascii="Songti TC" w:eastAsia="Songti TC" w:hAnsi="Songti TC" w:hint="eastAsia"/>
        </w:rPr>
      </w:pPr>
      <w:r w:rsidRPr="00D03FFE">
        <w:rPr>
          <w:rFonts w:ascii="Songti TC" w:eastAsia="Songti TC" w:hAnsi="Songti TC" w:hint="eastAsia"/>
        </w:rPr>
        <w:t xml:space="preserve">不推荐普通人群筛查：无症状的一般人群无需常规甲状腺癌筛查（但依据上海市抗癌协会指南《2025年居民常见恶性肿瘤筛查和预防推荐》：目前没有用于甲状腺癌早期检测或常规筛查的标准方案；临床颈部体检：20 - 29岁每2 - 3年1次，30岁以后每年1次；颈部超声检查：30岁后每年1次（包括甲状腺、颈部、锁骨上））。 </w:t>
      </w:r>
    </w:p>
    <w:p w14:paraId="07D3FEDC" w14:textId="77777777" w:rsidR="00D03FFE" w:rsidRDefault="00CE5FCB" w:rsidP="005F53C8">
      <w:pPr>
        <w:pStyle w:val="ListParagraph"/>
        <w:numPr>
          <w:ilvl w:val="0"/>
          <w:numId w:val="27"/>
        </w:numPr>
        <w:spacing w:line="360" w:lineRule="auto"/>
        <w:jc w:val="both"/>
        <w:rPr>
          <w:rFonts w:ascii="Songti TC" w:eastAsia="Songti TC" w:hAnsi="Songti TC"/>
        </w:rPr>
      </w:pPr>
      <w:r w:rsidRPr="00D03FFE">
        <w:rPr>
          <w:rFonts w:ascii="Songti TC" w:eastAsia="Songti TC" w:hAnsi="Songti TC" w:hint="eastAsia"/>
        </w:rPr>
        <w:t>遗传性甲状腺癌的干预</w:t>
      </w:r>
    </w:p>
    <w:p w14:paraId="14F7AE35" w14:textId="1C01C807" w:rsidR="00D03FFE" w:rsidRDefault="00D03FFE" w:rsidP="00D03FFE">
      <w:pPr>
        <w:pStyle w:val="ListParagraph"/>
        <w:spacing w:line="360" w:lineRule="auto"/>
        <w:jc w:val="both"/>
        <w:rPr>
          <w:rFonts w:ascii="Songti TC" w:eastAsia="Songti TC" w:hAnsi="Songti TC" w:hint="eastAsia"/>
        </w:rPr>
      </w:pPr>
      <w:r w:rsidRPr="00D03FFE">
        <w:rPr>
          <w:rFonts w:ascii="Songti TC" w:eastAsia="Songti TC" w:hAnsi="Songti TC" w:hint="eastAsia"/>
        </w:rPr>
        <w:t>对家族性非髓样甲状腺癌（FNMTC）患者，20岁以上一级和二级亲属需每年进行甲状腺超声检查。</w:t>
      </w:r>
    </w:p>
    <w:p w14:paraId="1C23AF74" w14:textId="080A7CFD" w:rsidR="00CE5FCB" w:rsidRDefault="00CE5FCB" w:rsidP="005F53C8">
      <w:pPr>
        <w:pStyle w:val="ListParagraph"/>
        <w:numPr>
          <w:ilvl w:val="0"/>
          <w:numId w:val="27"/>
        </w:numPr>
        <w:spacing w:line="360" w:lineRule="auto"/>
        <w:jc w:val="both"/>
        <w:rPr>
          <w:rFonts w:ascii="Songti TC" w:eastAsia="Songti TC" w:hAnsi="Songti TC"/>
        </w:rPr>
      </w:pPr>
      <w:r w:rsidRPr="00D03FFE">
        <w:rPr>
          <w:rFonts w:ascii="Songti TC" w:eastAsia="Songti TC" w:hAnsi="Songti TC" w:hint="eastAsia"/>
        </w:rPr>
        <w:t>保持健康生活方式</w:t>
      </w:r>
    </w:p>
    <w:p w14:paraId="72D435DB" w14:textId="4A4A8401" w:rsidR="00D03FFE" w:rsidRPr="00D03FFE" w:rsidRDefault="00D03FFE" w:rsidP="00D03FFE">
      <w:pPr>
        <w:pStyle w:val="ListParagraph"/>
        <w:spacing w:line="360" w:lineRule="auto"/>
        <w:jc w:val="both"/>
        <w:rPr>
          <w:rFonts w:ascii="Songti TC" w:eastAsia="Songti TC" w:hAnsi="Songti TC"/>
        </w:rPr>
      </w:pPr>
      <w:r w:rsidRPr="00D03FFE">
        <w:rPr>
          <w:rFonts w:ascii="Songti TC" w:eastAsia="Songti TC" w:hAnsi="Songti TC" w:hint="eastAsia"/>
        </w:rPr>
        <w:t>饮食管理：多摄取富含抗氧化剂的食物，如水果和蔬菜；避免高碘饮食，尤其在碘缺乏地区，应根据医生建议合理补碘；十字花科蔬菜焯水后食用，每周＜500g。控制每日碘盐摄入量&lt;5g，对于控制甲状腺结节和甲状腺癌的发生风险十分重要。此外，经常参加体育锻炼，可在一定程度上抵消碘盐摄入过量的风险；受教育程度更高的人群发生甲状腺结节的风险更低。</w:t>
      </w:r>
    </w:p>
    <w:p w14:paraId="522313E2" w14:textId="77777777" w:rsidR="00D03FFE" w:rsidRPr="00D03FFE" w:rsidRDefault="00D03FFE" w:rsidP="00D03FFE">
      <w:pPr>
        <w:pStyle w:val="ListParagraph"/>
        <w:spacing w:line="360" w:lineRule="auto"/>
        <w:jc w:val="both"/>
        <w:rPr>
          <w:rFonts w:ascii="Songti TC" w:eastAsia="Songti TC" w:hAnsi="Songti TC" w:hint="eastAsia"/>
        </w:rPr>
      </w:pPr>
      <w:r w:rsidRPr="00D03FFE">
        <w:rPr>
          <w:rFonts w:ascii="Songti TC" w:eastAsia="Songti TC" w:hAnsi="Songti TC" w:hint="eastAsia"/>
        </w:rPr>
        <w:lastRenderedPageBreak/>
        <w:t>减少辐射暴露：尽量减少不必要的放射性检查，如X光和CT扫描；特别注意儿童和青少年的放射线暴露，这一人群对辐射更敏感。</w:t>
      </w:r>
    </w:p>
    <w:p w14:paraId="7CD57356" w14:textId="77777777" w:rsidR="00D03FFE" w:rsidRPr="00D03FFE" w:rsidRDefault="00D03FFE" w:rsidP="00D03FFE">
      <w:pPr>
        <w:pStyle w:val="ListParagraph"/>
        <w:spacing w:line="360" w:lineRule="auto"/>
        <w:jc w:val="both"/>
        <w:rPr>
          <w:rFonts w:ascii="Songti TC" w:eastAsia="Songti TC" w:hAnsi="Songti TC" w:hint="eastAsia"/>
        </w:rPr>
      </w:pPr>
      <w:r w:rsidRPr="00D03FFE">
        <w:rPr>
          <w:rFonts w:ascii="Songti TC" w:eastAsia="Songti TC" w:hAnsi="Songti TC" w:hint="eastAsia"/>
        </w:rPr>
        <w:t>定期体检：定期进行甲状腺功能检查和超声检查，特别是有甲状腺疾病家族史的人群；早期发现并治疗甲状腺结节或其他异常情况。</w:t>
      </w:r>
    </w:p>
    <w:p w14:paraId="30CFB382" w14:textId="77777777" w:rsidR="00D03FFE" w:rsidRPr="00D03FFE" w:rsidRDefault="00D03FFE" w:rsidP="00D03FFE">
      <w:pPr>
        <w:pStyle w:val="ListParagraph"/>
        <w:spacing w:line="360" w:lineRule="auto"/>
        <w:jc w:val="both"/>
        <w:rPr>
          <w:rFonts w:ascii="Songti TC" w:eastAsia="Songti TC" w:hAnsi="Songti TC" w:hint="eastAsia"/>
        </w:rPr>
      </w:pPr>
      <w:r w:rsidRPr="00D03FFE">
        <w:rPr>
          <w:rFonts w:ascii="Songti TC" w:eastAsia="Songti TC" w:hAnsi="Songti TC" w:hint="eastAsia"/>
        </w:rPr>
        <w:t>避免接触有害物质：尽量避免接触环境中的有害化学物质，如某些工业化学品和污染物。</w:t>
      </w:r>
    </w:p>
    <w:p w14:paraId="784AF97E" w14:textId="77777777" w:rsidR="00D03FFE" w:rsidRPr="00D03FFE" w:rsidRDefault="00D03FFE" w:rsidP="00D03FFE">
      <w:pPr>
        <w:pStyle w:val="ListParagraph"/>
        <w:spacing w:line="360" w:lineRule="auto"/>
        <w:jc w:val="both"/>
        <w:rPr>
          <w:rFonts w:ascii="Songti TC" w:eastAsia="Songti TC" w:hAnsi="Songti TC" w:hint="eastAsia"/>
        </w:rPr>
      </w:pPr>
      <w:r w:rsidRPr="00D03FFE">
        <w:rPr>
          <w:rFonts w:ascii="Songti TC" w:eastAsia="Songti TC" w:hAnsi="Songti TC" w:hint="eastAsia"/>
        </w:rPr>
        <w:t>保持良好的生活作息：保持适当的运动量和健康体重；戒烟限酒，吸烟和过量饮酒可能增加多种癌症的风险；保证充足的睡眠时间，建议每天晚上11点前入睡，保证7 - 8小时的高质量睡眠。</w:t>
      </w:r>
    </w:p>
    <w:p w14:paraId="00359282" w14:textId="27B6ECF0" w:rsidR="00D03FFE" w:rsidRPr="00D03FFE" w:rsidRDefault="00D03FFE" w:rsidP="00D03FFE">
      <w:pPr>
        <w:pStyle w:val="ListParagraph"/>
        <w:spacing w:line="360" w:lineRule="auto"/>
        <w:jc w:val="both"/>
        <w:rPr>
          <w:rFonts w:ascii="Songti TC" w:eastAsia="Songti TC" w:hAnsi="Songti TC" w:hint="eastAsia"/>
        </w:rPr>
      </w:pPr>
      <w:r w:rsidRPr="00D03FFE">
        <w:rPr>
          <w:rFonts w:ascii="Songti TC" w:eastAsia="Songti TC" w:hAnsi="Songti TC" w:hint="eastAsia"/>
        </w:rPr>
        <w:t>调节情绪：保持良好的心态，避免长期焦虑、抑郁、压力大等不良情绪，可通过培养兴趣爱好、与家人朋友交流等方式缓解压力。若情绪低落、焦虑到影响正常生活，及时寻求心理医生的帮助。</w:t>
      </w:r>
    </w:p>
    <w:p w14:paraId="200EC671"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五、超声在甲状腺癌诊断中的作用是什么？有哪些局限性？</w:t>
      </w:r>
    </w:p>
    <w:p w14:paraId="71DF9399"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（一）超声在甲状腺癌诊断中的作用</w:t>
      </w:r>
    </w:p>
    <w:p w14:paraId="2A885F5C" w14:textId="77777777" w:rsidR="00503B6A" w:rsidRPr="00503B6A" w:rsidRDefault="00503B6A" w:rsidP="00503B6A">
      <w:pPr>
        <w:pStyle w:val="ListParagraph"/>
        <w:numPr>
          <w:ilvl w:val="0"/>
          <w:numId w:val="47"/>
        </w:numPr>
        <w:spacing w:line="360" w:lineRule="auto"/>
        <w:jc w:val="both"/>
        <w:rPr>
          <w:rFonts w:ascii="Songti TC" w:eastAsia="Songti TC" w:hAnsi="Songti TC" w:hint="eastAsia"/>
        </w:rPr>
      </w:pPr>
      <w:r w:rsidRPr="00503B6A">
        <w:rPr>
          <w:rFonts w:ascii="Songti TC" w:eastAsia="Songti TC" w:hAnsi="Songti TC" w:hint="eastAsia"/>
        </w:rPr>
        <w:t>首选影像学方法：高分辨率超声是甲状腺癌筛查及结节良恶性评估的首选手段，具有无创、简便、经济的特点。所有临床触诊或机会性筛查发现的甲状腺结节患者均需行颈部超声（包括甲状腺和淋巴结）。</w:t>
      </w:r>
    </w:p>
    <w:p w14:paraId="796C79A5" w14:textId="5B04230C" w:rsidR="00503B6A" w:rsidRPr="00503B6A" w:rsidRDefault="00503B6A" w:rsidP="00503B6A">
      <w:pPr>
        <w:pStyle w:val="ListParagraph"/>
        <w:numPr>
          <w:ilvl w:val="0"/>
          <w:numId w:val="47"/>
        </w:numPr>
        <w:spacing w:line="360" w:lineRule="auto"/>
        <w:jc w:val="both"/>
        <w:rPr>
          <w:rFonts w:ascii="Songti TC" w:eastAsia="Songti TC" w:hAnsi="Songti TC" w:hint="eastAsia"/>
        </w:rPr>
      </w:pPr>
      <w:r w:rsidRPr="00503B6A">
        <w:rPr>
          <w:rFonts w:ascii="Songti TC" w:eastAsia="Songti TC" w:hAnsi="Songti TC" w:hint="eastAsia"/>
        </w:rPr>
        <w:lastRenderedPageBreak/>
        <w:t>恶性风险评估：典型恶性超声征象包括实性低回声或极低回声、结节边缘不规则、微钙化（簇状或弥散分布）、垂直位生长（纵横比＞1）、甲状腺外浸润、伴发颈部淋巴结异常（如高回声、囊性变、钙化、淋巴门消失等）。</w:t>
      </w:r>
    </w:p>
    <w:p w14:paraId="449DC7B5" w14:textId="49E605BF" w:rsidR="00503B6A" w:rsidRPr="00503B6A" w:rsidRDefault="00503B6A" w:rsidP="00503B6A">
      <w:pPr>
        <w:pStyle w:val="ListParagraph"/>
        <w:numPr>
          <w:ilvl w:val="0"/>
          <w:numId w:val="47"/>
        </w:numPr>
        <w:spacing w:line="360" w:lineRule="auto"/>
        <w:jc w:val="both"/>
        <w:rPr>
          <w:rFonts w:ascii="Songti TC" w:eastAsia="Songti TC" w:hAnsi="Songti TC" w:hint="eastAsia"/>
        </w:rPr>
      </w:pPr>
      <w:r w:rsidRPr="00503B6A">
        <w:rPr>
          <w:rFonts w:ascii="Songti TC" w:eastAsia="Songti TC" w:hAnsi="Songti TC" w:hint="eastAsia"/>
        </w:rPr>
        <w:t>辅助诊断技术创新：弹性成像和超声造影作为补充工具，可评估结节硬度及血流动力学特征，提高诊断准确性。</w:t>
      </w:r>
    </w:p>
    <w:p w14:paraId="3C73EC81" w14:textId="18774FA0" w:rsidR="00503B6A" w:rsidRPr="00503B6A" w:rsidRDefault="00503B6A" w:rsidP="00503B6A">
      <w:pPr>
        <w:pStyle w:val="ListParagraph"/>
        <w:numPr>
          <w:ilvl w:val="0"/>
          <w:numId w:val="47"/>
        </w:numPr>
        <w:spacing w:line="360" w:lineRule="auto"/>
        <w:jc w:val="both"/>
        <w:rPr>
          <w:rFonts w:ascii="Songti TC" w:eastAsia="Songti TC" w:hAnsi="Songti TC" w:hint="eastAsia"/>
        </w:rPr>
      </w:pPr>
      <w:r w:rsidRPr="00503B6A">
        <w:rPr>
          <w:rFonts w:ascii="Songti TC" w:eastAsia="Songti TC" w:hAnsi="Songti TC" w:hint="eastAsia"/>
        </w:rPr>
        <w:t>引导穿刺活检：超声引导下细针穿刺（FNAB）是术前评估良恶性的金标准，显著提高穿刺成功率和诊断敏感性。</w:t>
      </w:r>
    </w:p>
    <w:p w14:paraId="0A78D9A0" w14:textId="34365B6F" w:rsidR="00503B6A" w:rsidRDefault="00503B6A" w:rsidP="00503B6A">
      <w:pPr>
        <w:pStyle w:val="ListParagraph"/>
        <w:numPr>
          <w:ilvl w:val="0"/>
          <w:numId w:val="47"/>
        </w:numPr>
        <w:spacing w:line="360" w:lineRule="auto"/>
        <w:jc w:val="both"/>
        <w:rPr>
          <w:rFonts w:ascii="Songti TC" w:eastAsia="Songti TC" w:hAnsi="Songti TC"/>
        </w:rPr>
      </w:pPr>
      <w:r w:rsidRPr="00503B6A">
        <w:rPr>
          <w:rFonts w:ascii="Songti TC" w:eastAsia="Songti TC" w:hAnsi="Songti TC" w:hint="eastAsia"/>
        </w:rPr>
        <w:t>术后随访监测：DTC（分化型甲状腺癌）术后随访中，用于评估甲状腺床及颈部淋巴结状态，建议定期复查（如术后2年内每3 - 6个月一次）。</w:t>
      </w:r>
    </w:p>
    <w:p w14:paraId="29BB2B98" w14:textId="354EEF4B" w:rsidR="00503B6A" w:rsidRPr="00503B6A" w:rsidRDefault="00503B6A" w:rsidP="00503B6A">
      <w:pPr>
        <w:pStyle w:val="ListParagraph"/>
        <w:spacing w:line="360" w:lineRule="auto"/>
        <w:jc w:val="center"/>
        <w:rPr>
          <w:rFonts w:ascii="Songti TC" w:eastAsia="Songti TC" w:hAnsi="Songti TC" w:hint="eastAsia"/>
        </w:rPr>
      </w:pPr>
      <w:r>
        <w:rPr>
          <w:noProof/>
        </w:rPr>
        <w:drawing>
          <wp:inline distT="0" distB="0" distL="0" distR="0" wp14:anchorId="7E5CBFFA" wp14:editId="4D5D5D64">
            <wp:extent cx="5943053" cy="3572185"/>
            <wp:effectExtent l="0" t="0" r="0" b="0"/>
            <wp:docPr id="326193929"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3929" name="Picture 12" descr="A screen shot of a computer&#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t="6696" b="8944"/>
                    <a:stretch/>
                  </pic:blipFill>
                  <pic:spPr bwMode="auto">
                    <a:xfrm>
                      <a:off x="0" y="0"/>
                      <a:ext cx="5943600" cy="3572514"/>
                    </a:xfrm>
                    <a:prstGeom prst="rect">
                      <a:avLst/>
                    </a:prstGeom>
                    <a:noFill/>
                    <a:ln>
                      <a:noFill/>
                    </a:ln>
                    <a:extLst>
                      <a:ext uri="{53640926-AAD7-44D8-BBD7-CCE9431645EC}">
                        <a14:shadowObscured xmlns:a14="http://schemas.microsoft.com/office/drawing/2010/main"/>
                      </a:ext>
                    </a:extLst>
                  </pic:spPr>
                </pic:pic>
              </a:graphicData>
            </a:graphic>
          </wp:inline>
        </w:drawing>
      </w:r>
    </w:p>
    <w:p w14:paraId="292E376A"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（二）超声的局限性</w:t>
      </w:r>
    </w:p>
    <w:p w14:paraId="1ED31064" w14:textId="77777777" w:rsidR="001706D2" w:rsidRPr="001706D2" w:rsidRDefault="001706D2" w:rsidP="001706D2">
      <w:pPr>
        <w:pStyle w:val="break-words"/>
        <w:numPr>
          <w:ilvl w:val="0"/>
          <w:numId w:val="48"/>
        </w:numPr>
        <w:rPr>
          <w:rFonts w:ascii="Songti TC" w:eastAsia="Songti TC" w:hAnsi="Songti TC" w:cstheme="minorBidi"/>
          <w:kern w:val="2"/>
          <w14:ligatures w14:val="standardContextual"/>
        </w:rPr>
      </w:pPr>
      <w:r w:rsidRPr="001706D2">
        <w:rPr>
          <w:rFonts w:ascii="Songti TC" w:eastAsia="Songti TC" w:hAnsi="Songti TC" w:cstheme="minorBidi"/>
          <w:b/>
          <w:bCs/>
          <w:kern w:val="2"/>
          <w14:ligatures w14:val="standardContextual"/>
        </w:rPr>
        <w:lastRenderedPageBreak/>
        <w:t>操作者依赖性</w:t>
      </w:r>
      <w:r w:rsidRPr="001706D2">
        <w:rPr>
          <w:rFonts w:ascii="Songti TC" w:eastAsia="Songti TC" w:hAnsi="Songti TC" w:cstheme="minorBidi"/>
          <w:kern w:val="2"/>
          <w14:ligatures w14:val="standardContextual"/>
        </w:rPr>
        <w:t>：诊断准确性高度依赖超声医师的经验，不同水平医师对征象的判断差异可能影响结果。</w:t>
      </w:r>
    </w:p>
    <w:p w14:paraId="222891F0" w14:textId="77777777" w:rsidR="001706D2" w:rsidRPr="001706D2" w:rsidRDefault="001706D2" w:rsidP="001706D2">
      <w:pPr>
        <w:pStyle w:val="break-words"/>
        <w:numPr>
          <w:ilvl w:val="0"/>
          <w:numId w:val="49"/>
        </w:numPr>
        <w:rPr>
          <w:rFonts w:ascii="Songti TC" w:eastAsia="Songti TC" w:hAnsi="Songti TC" w:cstheme="minorBidi"/>
          <w:kern w:val="2"/>
          <w14:ligatures w14:val="standardContextual"/>
        </w:rPr>
      </w:pPr>
      <w:r w:rsidRPr="001706D2">
        <w:rPr>
          <w:rFonts w:ascii="Songti TC" w:eastAsia="Songti TC" w:hAnsi="Songti TC" w:cstheme="minorBidi"/>
          <w:b/>
          <w:bCs/>
          <w:kern w:val="2"/>
          <w14:ligatures w14:val="standardContextual"/>
        </w:rPr>
        <w:t>中央区淋巴结评估受限</w:t>
      </w:r>
      <w:r w:rsidRPr="001706D2">
        <w:rPr>
          <w:rFonts w:ascii="Songti TC" w:eastAsia="Songti TC" w:hAnsi="Songti TC" w:cstheme="minorBidi"/>
          <w:kern w:val="2"/>
          <w14:ligatures w14:val="standardContextual"/>
        </w:rPr>
        <w:t>：中央区（尤其是上纵隔）淋巴结受甲状腺遮挡或术后瘢痕影响，超声检查敏感性较低。</w:t>
      </w:r>
    </w:p>
    <w:p w14:paraId="09737437" w14:textId="77777777" w:rsidR="001706D2" w:rsidRPr="001706D2" w:rsidRDefault="001706D2" w:rsidP="001706D2">
      <w:pPr>
        <w:pStyle w:val="break-words"/>
        <w:numPr>
          <w:ilvl w:val="0"/>
          <w:numId w:val="50"/>
        </w:numPr>
        <w:rPr>
          <w:rFonts w:ascii="Songti TC" w:eastAsia="Songti TC" w:hAnsi="Songti TC" w:cstheme="minorBidi"/>
          <w:kern w:val="2"/>
          <w14:ligatures w14:val="standardContextual"/>
        </w:rPr>
      </w:pPr>
      <w:r w:rsidRPr="001706D2">
        <w:rPr>
          <w:rFonts w:ascii="Songti TC" w:eastAsia="Songti TC" w:hAnsi="Songti TC" w:cstheme="minorBidi"/>
          <w:b/>
          <w:bCs/>
          <w:kern w:val="2"/>
          <w14:ligatures w14:val="standardContextual"/>
        </w:rPr>
        <w:t>微小病变难以检出</w:t>
      </w:r>
      <w:r w:rsidRPr="001706D2">
        <w:rPr>
          <w:rFonts w:ascii="Songti TC" w:eastAsia="Songti TC" w:hAnsi="Songti TC" w:cstheme="minorBidi"/>
          <w:kern w:val="2"/>
          <w14:ligatures w14:val="standardContextual"/>
        </w:rPr>
        <w:t>：直径＜5mm的结节或微钙化可能漏诊，例如微小乳头状癌（PTMC）可能无法被超声发现。</w:t>
      </w:r>
    </w:p>
    <w:p w14:paraId="2D3E1528" w14:textId="77777777" w:rsidR="001706D2" w:rsidRPr="001706D2" w:rsidRDefault="001706D2" w:rsidP="001706D2">
      <w:pPr>
        <w:pStyle w:val="break-words"/>
        <w:numPr>
          <w:ilvl w:val="0"/>
          <w:numId w:val="51"/>
        </w:numPr>
        <w:rPr>
          <w:rFonts w:ascii="Songti TC" w:eastAsia="Songti TC" w:hAnsi="Songti TC" w:cstheme="minorBidi"/>
          <w:kern w:val="2"/>
          <w14:ligatures w14:val="standardContextual"/>
        </w:rPr>
      </w:pPr>
      <w:r w:rsidRPr="001706D2">
        <w:rPr>
          <w:rFonts w:ascii="Songti TC" w:eastAsia="Songti TC" w:hAnsi="Songti TC" w:cstheme="minorBidi"/>
          <w:b/>
          <w:bCs/>
          <w:kern w:val="2"/>
          <w14:ligatures w14:val="standardContextual"/>
        </w:rPr>
        <w:t>无法完全区分良恶性</w:t>
      </w:r>
      <w:r w:rsidRPr="001706D2">
        <w:rPr>
          <w:rFonts w:ascii="Songti TC" w:eastAsia="Songti TC" w:hAnsi="Songti TC" w:cstheme="minorBidi"/>
          <w:kern w:val="2"/>
          <w14:ligatures w14:val="standardContextual"/>
        </w:rPr>
        <w:t>：良性结节可能因液化、纤维化等表现类似恶性特征（如“白色骑士”征）造成假阳性。</w:t>
      </w:r>
    </w:p>
    <w:p w14:paraId="510F26D1" w14:textId="0AF011BB" w:rsidR="001706D2" w:rsidRPr="001706D2" w:rsidRDefault="001706D2" w:rsidP="001706D2">
      <w:pPr>
        <w:pStyle w:val="break-words"/>
        <w:numPr>
          <w:ilvl w:val="0"/>
          <w:numId w:val="52"/>
        </w:numPr>
        <w:rPr>
          <w:rFonts w:ascii="Songti TC" w:eastAsia="Songti TC" w:hAnsi="Songti TC" w:cstheme="minorBidi" w:hint="eastAsia"/>
          <w:kern w:val="2"/>
          <w14:ligatures w14:val="standardContextual"/>
        </w:rPr>
      </w:pPr>
      <w:r w:rsidRPr="001706D2">
        <w:rPr>
          <w:rFonts w:ascii="Songti TC" w:eastAsia="Songti TC" w:hAnsi="Songti TC" w:cstheme="minorBidi"/>
          <w:b/>
          <w:bCs/>
          <w:kern w:val="2"/>
          <w14:ligatures w14:val="standardContextual"/>
        </w:rPr>
        <w:t>特殊病例诊断能力有限</w:t>
      </w:r>
      <w:r w:rsidRPr="001706D2">
        <w:rPr>
          <w:rFonts w:ascii="Songti TC" w:eastAsia="Songti TC" w:hAnsi="Songti TC" w:cstheme="minorBidi"/>
          <w:kern w:val="2"/>
          <w14:ligatures w14:val="standardContextual"/>
        </w:rPr>
        <w:t>：滤泡癌术前难以通过超声确诊，需依赖组织病理；无法可靠评估远处转移（如肺、骨），需结合CT、MRI或核素显像。</w:t>
      </w:r>
    </w:p>
    <w:p w14:paraId="6D10A776"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六、穿刺活检如何帮助确诊甲状腺癌？FNA结果不确定时为何选基因检测？基因检测有何作用？</w:t>
      </w:r>
    </w:p>
    <w:p w14:paraId="32F53E6C"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（一）超声引导下细针穿刺活检（FNAB）如何帮助确诊甲状腺癌？</w:t>
      </w:r>
    </w:p>
    <w:p w14:paraId="6C36B2AE" w14:textId="77777777" w:rsidR="00E77AB9" w:rsidRPr="00E77AB9" w:rsidRDefault="00E77AB9" w:rsidP="00E77AB9">
      <w:pPr>
        <w:pStyle w:val="break-words"/>
        <w:numPr>
          <w:ilvl w:val="0"/>
          <w:numId w:val="53"/>
        </w:numPr>
        <w:rPr>
          <w:rFonts w:ascii="Songti TC" w:eastAsia="Songti TC" w:hAnsi="Songti TC" w:cstheme="minorBidi"/>
          <w:b/>
          <w:bCs/>
          <w:kern w:val="2"/>
          <w14:ligatures w14:val="standardContextual"/>
        </w:rPr>
      </w:pPr>
      <w:r w:rsidRPr="00E77AB9">
        <w:rPr>
          <w:rFonts w:ascii="Songti TC" w:eastAsia="Songti TC" w:hAnsi="Songti TC" w:cstheme="minorBidi"/>
          <w:kern w:val="2"/>
          <w14:ligatures w14:val="standardContextual"/>
        </w:rPr>
        <w:t>术前评估的核心方法</w:t>
      </w:r>
      <w:r w:rsidRPr="00E77AB9">
        <w:rPr>
          <w:rFonts w:ascii="Songti TC" w:eastAsia="Songti TC" w:hAnsi="Songti TC" w:cstheme="minorBidi"/>
          <w:b/>
          <w:bCs/>
          <w:kern w:val="2"/>
          <w14:ligatures w14:val="standardContextual"/>
        </w:rPr>
        <w:t xml:space="preserve">：FNAB是术前评估甲状腺结节良恶性的敏感度和特异度最佳方法。通过获取细胞学标本，结合细胞形态学分析，可直接判断结节性质。 </w:t>
      </w:r>
    </w:p>
    <w:p w14:paraId="0971BDCB" w14:textId="77777777" w:rsidR="00E77AB9" w:rsidRPr="00E77AB9" w:rsidRDefault="00E77AB9" w:rsidP="00E77AB9">
      <w:pPr>
        <w:pStyle w:val="break-words"/>
        <w:numPr>
          <w:ilvl w:val="0"/>
          <w:numId w:val="54"/>
        </w:numPr>
        <w:rPr>
          <w:rFonts w:ascii="Songti TC" w:eastAsia="Songti TC" w:hAnsi="Songti TC" w:cstheme="minorBidi"/>
          <w:b/>
          <w:bCs/>
          <w:kern w:val="2"/>
          <w14:ligatures w14:val="standardContextual"/>
        </w:rPr>
      </w:pPr>
      <w:r w:rsidRPr="00E77AB9">
        <w:rPr>
          <w:rFonts w:ascii="Songti TC" w:eastAsia="Songti TC" w:hAnsi="Songti TC" w:cstheme="minorBidi"/>
          <w:kern w:val="2"/>
          <w14:ligatures w14:val="standardContextual"/>
        </w:rPr>
        <w:t>联合标志物检测提升精准性</w:t>
      </w:r>
      <w:r w:rsidRPr="00E77AB9">
        <w:rPr>
          <w:rFonts w:ascii="Songti TC" w:eastAsia="Songti TC" w:hAnsi="Songti TC" w:cstheme="minorBidi"/>
          <w:b/>
          <w:bCs/>
          <w:kern w:val="2"/>
          <w14:ligatures w14:val="standardContextual"/>
        </w:rPr>
        <w:t xml:space="preserve">：FNAB洗脱液中甲状腺球蛋白（Tg）和降钙素（Ctn）的检测可用于辅助诊断分化型甲状腺癌（DTC）、转移性淋巴结及髓样癌（MTC）。 </w:t>
      </w:r>
    </w:p>
    <w:p w14:paraId="786F75CF" w14:textId="2FEC2C89" w:rsidR="00E77AB9" w:rsidRPr="00E77AB9" w:rsidRDefault="00E77AB9" w:rsidP="00E77AB9">
      <w:pPr>
        <w:pStyle w:val="break-words"/>
        <w:numPr>
          <w:ilvl w:val="0"/>
          <w:numId w:val="55"/>
        </w:numPr>
        <w:rPr>
          <w:rFonts w:ascii="Songti TC" w:eastAsia="Songti TC" w:hAnsi="Songti TC" w:cstheme="minorBidi" w:hint="eastAsia"/>
          <w:b/>
          <w:bCs/>
          <w:kern w:val="2"/>
          <w14:ligatures w14:val="standardContextual"/>
        </w:rPr>
      </w:pPr>
      <w:r w:rsidRPr="00E77AB9">
        <w:rPr>
          <w:rFonts w:ascii="Songti TC" w:eastAsia="Songti TC" w:hAnsi="Songti TC" w:cstheme="minorBidi"/>
          <w:kern w:val="2"/>
          <w14:ligatures w14:val="standardContextual"/>
        </w:rPr>
        <w:t>避免不必要的手术</w:t>
      </w:r>
      <w:r w:rsidRPr="00E77AB9">
        <w:rPr>
          <w:rFonts w:ascii="Songti TC" w:eastAsia="Songti TC" w:hAnsi="Songti TC" w:cstheme="minorBidi"/>
          <w:b/>
          <w:bCs/>
          <w:kern w:val="2"/>
          <w14:ligatures w14:val="standardContextual"/>
        </w:rPr>
        <w:t>：对于良性或不确定结节，FNAB可减少不必要的甲状腺手术，若结果为恶性则可帮助制定精准手术方案。针对甲状腺结节，FNAB鉴别其良恶性的准确率可达85% - 94%。目前，FNAB已被国内外众多指南基于高质量证据推荐</w:t>
      </w:r>
      <w:r w:rsidRPr="00E77AB9">
        <w:rPr>
          <w:rFonts w:ascii="Songti TC" w:eastAsia="Songti TC" w:hAnsi="Songti TC" w:cstheme="minorBidi"/>
          <w:b/>
          <w:bCs/>
          <w:kern w:val="2"/>
          <w14:ligatures w14:val="standardContextual"/>
        </w:rPr>
        <w:lastRenderedPageBreak/>
        <w:t>作为甲状腺结节术前的首选病理诊断方法，通常依据甲状腺细胞病理学Bethesda报告系统进行诊断分类。</w:t>
      </w:r>
    </w:p>
    <w:p w14:paraId="056885F0"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（二）FNAB结果不确定时为何选择基因检测？</w:t>
      </w:r>
    </w:p>
    <w:p w14:paraId="4E3DB581" w14:textId="77777777" w:rsidR="00E77AB9" w:rsidRPr="00E77AB9" w:rsidRDefault="00E77AB9" w:rsidP="00E77AB9">
      <w:pPr>
        <w:pStyle w:val="break-words"/>
        <w:numPr>
          <w:ilvl w:val="0"/>
          <w:numId w:val="56"/>
        </w:numPr>
        <w:rPr>
          <w:rFonts w:ascii="Songti TC" w:eastAsia="Songti TC" w:hAnsi="Songti TC" w:cstheme="minorBidi"/>
          <w:b/>
          <w:bCs/>
          <w:kern w:val="2"/>
          <w14:ligatures w14:val="standardContextual"/>
        </w:rPr>
      </w:pPr>
      <w:r w:rsidRPr="00E77AB9">
        <w:rPr>
          <w:rFonts w:ascii="Songti TC" w:eastAsia="Songti TC" w:hAnsi="Songti TC" w:cstheme="minorBidi"/>
          <w:kern w:val="2"/>
          <w14:ligatures w14:val="standardContextual"/>
        </w:rPr>
        <w:t>补充细胞学诊断的局限性</w:t>
      </w:r>
      <w:r w:rsidRPr="00E77AB9">
        <w:rPr>
          <w:rFonts w:ascii="Songti TC" w:eastAsia="Songti TC" w:hAnsi="Songti TC" w:cstheme="minorBidi"/>
          <w:b/>
          <w:bCs/>
          <w:kern w:val="2"/>
          <w14:ligatures w14:val="standardContextual"/>
        </w:rPr>
        <w:t xml:space="preserve">：当FNAB细胞学无法明确良恶性时（如Bethesda分类Ⅲ - Ⅳ类），基因检测可通过分析分子标记物（如BRAF突变、RET/PTC重排等）进一步提高确诊率。 </w:t>
      </w:r>
    </w:p>
    <w:p w14:paraId="3068F4A6" w14:textId="77777777" w:rsidR="00E77AB9" w:rsidRPr="00E77AB9" w:rsidRDefault="00E77AB9" w:rsidP="00E77AB9">
      <w:pPr>
        <w:pStyle w:val="break-words"/>
        <w:numPr>
          <w:ilvl w:val="0"/>
          <w:numId w:val="57"/>
        </w:numPr>
        <w:rPr>
          <w:rFonts w:ascii="Songti TC" w:eastAsia="Songti TC" w:hAnsi="Songti TC" w:cstheme="minorBidi"/>
          <w:b/>
          <w:bCs/>
          <w:kern w:val="2"/>
          <w14:ligatures w14:val="standardContextual"/>
        </w:rPr>
      </w:pPr>
      <w:r w:rsidRPr="00E77AB9">
        <w:rPr>
          <w:rFonts w:ascii="Songti TC" w:eastAsia="Songti TC" w:hAnsi="Songti TC" w:cstheme="minorBidi"/>
          <w:kern w:val="2"/>
          <w14:ligatures w14:val="standardContextual"/>
        </w:rPr>
        <w:t>减少重复穿刺需求</w:t>
      </w:r>
      <w:r w:rsidRPr="00E77AB9">
        <w:rPr>
          <w:rFonts w:ascii="Songti TC" w:eastAsia="Songti TC" w:hAnsi="Songti TC" w:cstheme="minorBidi"/>
          <w:b/>
          <w:bCs/>
          <w:kern w:val="2"/>
          <w14:ligatures w14:val="standardContextual"/>
        </w:rPr>
        <w:t>：对于超声高度可疑但FNAB结果不明确的结节，基因检测可避免重复穿刺，直接辅助临床决策。</w:t>
      </w:r>
    </w:p>
    <w:p w14:paraId="3BFC76B0" w14:textId="2B72486B" w:rsidR="00E77AB9" w:rsidRPr="00E77AB9" w:rsidRDefault="00E77AB9" w:rsidP="00E77AB9">
      <w:pPr>
        <w:pStyle w:val="break-words"/>
        <w:numPr>
          <w:ilvl w:val="0"/>
          <w:numId w:val="58"/>
        </w:numPr>
        <w:rPr>
          <w:rFonts w:ascii="Songti TC" w:eastAsia="Songti TC" w:hAnsi="Songti TC" w:cstheme="minorBidi" w:hint="eastAsia"/>
          <w:b/>
          <w:bCs/>
          <w:kern w:val="2"/>
          <w14:ligatures w14:val="standardContextual"/>
        </w:rPr>
      </w:pPr>
      <w:r w:rsidRPr="00E77AB9">
        <w:rPr>
          <w:rFonts w:ascii="Songti TC" w:eastAsia="Songti TC" w:hAnsi="Songti TC" w:cstheme="minorBidi"/>
          <w:kern w:val="2"/>
          <w14:ligatures w14:val="standardContextual"/>
        </w:rPr>
        <w:t>指导个性化治疗</w:t>
      </w:r>
      <w:r w:rsidRPr="00E77AB9">
        <w:rPr>
          <w:rFonts w:ascii="Songti TC" w:eastAsia="Songti TC" w:hAnsi="Songti TC" w:cstheme="minorBidi"/>
          <w:b/>
          <w:bCs/>
          <w:kern w:val="2"/>
          <w14:ligatures w14:val="standardContextual"/>
        </w:rPr>
        <w:t>：例如，检测到BRAF V600E突变可能提示侵袭性亚型，需更积极的手术干预；而RAS突变可能与滤泡性肿瘤相关。</w:t>
      </w:r>
    </w:p>
    <w:p w14:paraId="15E6ED5B" w14:textId="77777777" w:rsidR="00CE5FCB" w:rsidRDefault="00CE5FCB" w:rsidP="005F53C8">
      <w:pPr>
        <w:spacing w:line="360" w:lineRule="auto"/>
        <w:jc w:val="both"/>
        <w:rPr>
          <w:rFonts w:ascii="Songti TC" w:eastAsia="Songti TC" w:hAnsi="Songti TC"/>
        </w:rPr>
      </w:pPr>
      <w:r w:rsidRPr="00CE5FCB">
        <w:rPr>
          <w:rFonts w:ascii="Songti TC" w:eastAsia="Songti TC" w:hAnsi="Songti TC" w:hint="eastAsia"/>
        </w:rPr>
        <w:t>（三）基因检测在甲状腺癌诊断中的作用</w:t>
      </w:r>
    </w:p>
    <w:p w14:paraId="4353F7FC" w14:textId="77777777" w:rsidR="00E77AB9" w:rsidRPr="00E77AB9" w:rsidRDefault="00E77AB9" w:rsidP="00E77AB9">
      <w:pPr>
        <w:pStyle w:val="break-words"/>
        <w:numPr>
          <w:ilvl w:val="0"/>
          <w:numId w:val="59"/>
        </w:numPr>
        <w:rPr>
          <w:rFonts w:ascii="Songti TC" w:eastAsia="Songti TC" w:hAnsi="Songti TC" w:cstheme="minorBidi"/>
          <w:b/>
          <w:bCs/>
          <w:kern w:val="2"/>
          <w14:ligatures w14:val="standardContextual"/>
        </w:rPr>
      </w:pPr>
      <w:r w:rsidRPr="00E77AB9">
        <w:rPr>
          <w:rFonts w:ascii="Songti TC" w:eastAsia="Songti TC" w:hAnsi="Songti TC" w:cstheme="minorBidi"/>
          <w:kern w:val="2"/>
          <w14:ligatures w14:val="standardContextual"/>
        </w:rPr>
        <w:t>提高术前确诊率</w:t>
      </w:r>
      <w:r w:rsidRPr="00E77AB9">
        <w:rPr>
          <w:rFonts w:ascii="Songti TC" w:eastAsia="Songti TC" w:hAnsi="Songti TC" w:cstheme="minorBidi"/>
          <w:b/>
          <w:bCs/>
          <w:kern w:val="2"/>
          <w14:ligatures w14:val="standardContextual"/>
        </w:rPr>
        <w:t xml:space="preserve">：检测BRAF、RAS、RET/PTC等突变或重排，可辅助鉴别甲状腺结节的良恶性，尤其适用于细胞学不确定的病例。 </w:t>
      </w:r>
    </w:p>
    <w:p w14:paraId="075D486E" w14:textId="77777777" w:rsidR="00E77AB9" w:rsidRPr="00E77AB9" w:rsidRDefault="00E77AB9" w:rsidP="00E77AB9">
      <w:pPr>
        <w:pStyle w:val="break-words"/>
        <w:numPr>
          <w:ilvl w:val="0"/>
          <w:numId w:val="60"/>
        </w:numPr>
        <w:rPr>
          <w:rFonts w:ascii="Songti TC" w:eastAsia="Songti TC" w:hAnsi="Songti TC" w:cstheme="minorBidi"/>
          <w:b/>
          <w:bCs/>
          <w:kern w:val="2"/>
          <w14:ligatures w14:val="standardContextual"/>
        </w:rPr>
      </w:pPr>
      <w:r w:rsidRPr="00E77AB9">
        <w:rPr>
          <w:rFonts w:ascii="Songti TC" w:eastAsia="Songti TC" w:hAnsi="Songti TC" w:cstheme="minorBidi"/>
          <w:kern w:val="2"/>
          <w14:ligatures w14:val="standardContextual"/>
        </w:rPr>
        <w:t>分子分型与预后评估</w:t>
      </w:r>
      <w:r w:rsidRPr="00E77AB9">
        <w:rPr>
          <w:rFonts w:ascii="Songti TC" w:eastAsia="Songti TC" w:hAnsi="Songti TC" w:cstheme="minorBidi"/>
          <w:b/>
          <w:bCs/>
          <w:kern w:val="2"/>
          <w14:ligatures w14:val="standardContextual"/>
        </w:rPr>
        <w:t>：</w:t>
      </w:r>
    </w:p>
    <w:p w14:paraId="20B05B2F" w14:textId="77777777" w:rsidR="00E77AB9" w:rsidRPr="00E77AB9" w:rsidRDefault="00E77AB9" w:rsidP="00E77AB9">
      <w:pPr>
        <w:pStyle w:val="break-words"/>
        <w:numPr>
          <w:ilvl w:val="0"/>
          <w:numId w:val="65"/>
        </w:numPr>
        <w:rPr>
          <w:rFonts w:ascii="Songti TC" w:eastAsia="Songti TC" w:hAnsi="Songti TC" w:cstheme="minorBidi"/>
          <w:b/>
          <w:bCs/>
          <w:kern w:val="2"/>
          <w14:ligatures w14:val="standardContextual"/>
        </w:rPr>
      </w:pPr>
      <w:r w:rsidRPr="00E77AB9">
        <w:rPr>
          <w:rFonts w:ascii="Songti TC" w:eastAsia="Songti TC" w:hAnsi="Songti TC" w:cstheme="minorBidi"/>
          <w:b/>
          <w:bCs/>
          <w:kern w:val="2"/>
          <w14:ligatures w14:val="standardContextual"/>
        </w:rPr>
        <w:t>BRAF突变常见于经典型乳头状癌，可能与淋巴结转移相关；</w:t>
      </w:r>
    </w:p>
    <w:p w14:paraId="28A6EEE5" w14:textId="77777777" w:rsidR="00E77AB9" w:rsidRPr="00E77AB9" w:rsidRDefault="00E77AB9" w:rsidP="00E77AB9">
      <w:pPr>
        <w:pStyle w:val="break-words"/>
        <w:numPr>
          <w:ilvl w:val="0"/>
          <w:numId w:val="65"/>
        </w:numPr>
        <w:rPr>
          <w:rFonts w:ascii="Songti TC" w:eastAsia="Songti TC" w:hAnsi="Songti TC" w:cstheme="minorBidi"/>
          <w:b/>
          <w:bCs/>
          <w:kern w:val="2"/>
          <w14:ligatures w14:val="standardContextual"/>
        </w:rPr>
      </w:pPr>
      <w:r w:rsidRPr="00E77AB9">
        <w:rPr>
          <w:rFonts w:ascii="Songti TC" w:eastAsia="Songti TC" w:hAnsi="Songti TC" w:cstheme="minorBidi"/>
          <w:b/>
          <w:bCs/>
          <w:kern w:val="2"/>
          <w14:ligatures w14:val="standardContextual"/>
        </w:rPr>
        <w:t xml:space="preserve">RET突变筛查用于确诊髓样癌（MTC）及遗传性病例，需结合降钙素检测及遗传咨询； </w:t>
      </w:r>
    </w:p>
    <w:p w14:paraId="51E936F2" w14:textId="565747CF" w:rsidR="00E77AB9" w:rsidRDefault="00E77AB9" w:rsidP="00E77AB9">
      <w:pPr>
        <w:pStyle w:val="break-words"/>
        <w:numPr>
          <w:ilvl w:val="0"/>
          <w:numId w:val="65"/>
        </w:numPr>
        <w:rPr>
          <w:rFonts w:ascii="Songti TC" w:eastAsia="Songti TC" w:hAnsi="Songti TC" w:cstheme="minorBidi"/>
          <w:b/>
          <w:bCs/>
          <w:kern w:val="2"/>
          <w14:ligatures w14:val="standardContextual"/>
        </w:rPr>
      </w:pPr>
      <w:r w:rsidRPr="00E77AB9">
        <w:rPr>
          <w:rFonts w:ascii="Songti TC" w:eastAsia="Songti TC" w:hAnsi="Songti TC" w:cstheme="minorBidi"/>
          <w:b/>
          <w:bCs/>
          <w:kern w:val="2"/>
          <w14:ligatures w14:val="standardContextual"/>
        </w:rPr>
        <w:t xml:space="preserve">对未分化癌（ATC），基因检测可鉴别转移性肿瘤或肉瘤。 </w:t>
      </w:r>
    </w:p>
    <w:p w14:paraId="166804B4" w14:textId="19D3086B" w:rsidR="00787BA5" w:rsidRDefault="00787BA5" w:rsidP="00787BA5">
      <w:pPr>
        <w:pStyle w:val="break-words"/>
        <w:numPr>
          <w:ilvl w:val="0"/>
          <w:numId w:val="60"/>
        </w:numPr>
        <w:rPr>
          <w:rFonts w:ascii="SimSun" w:eastAsia="SimSun" w:hAnsi="SimSun" w:cs="SimSun"/>
        </w:rPr>
      </w:pPr>
      <w:r>
        <w:rPr>
          <w:rFonts w:ascii="SimSun" w:eastAsia="SimSun" w:hAnsi="SimSun" w:cs="SimSun" w:hint="eastAsia"/>
        </w:rPr>
        <w:t>指导靶向治疗</w:t>
      </w:r>
    </w:p>
    <w:p w14:paraId="3A062C01" w14:textId="143FAACE" w:rsidR="00787BA5" w:rsidRPr="00787BA5" w:rsidRDefault="00787BA5" w:rsidP="00787BA5">
      <w:pPr>
        <w:pStyle w:val="break-words"/>
        <w:numPr>
          <w:ilvl w:val="0"/>
          <w:numId w:val="60"/>
        </w:numPr>
        <w:rPr>
          <w:rFonts w:ascii="Songti TC" w:eastAsia="Songti TC" w:hAnsi="Songti TC" w:cstheme="minorBidi"/>
          <w:b/>
          <w:bCs/>
          <w:kern w:val="2"/>
          <w14:ligatures w14:val="standardContextual"/>
        </w:rPr>
      </w:pPr>
      <w:r>
        <w:rPr>
          <w:rFonts w:ascii="SimSun" w:eastAsia="SimSun" w:hAnsi="SimSun" w:cs="SimSun" w:hint="eastAsia"/>
        </w:rPr>
        <w:t>预测甲状腺癌</w:t>
      </w:r>
      <w:r>
        <w:t>RAI</w:t>
      </w:r>
      <w:r>
        <w:rPr>
          <w:rFonts w:ascii="SimSun" w:eastAsia="SimSun" w:hAnsi="SimSun" w:cs="SimSun" w:hint="eastAsia"/>
        </w:rPr>
        <w:t>抵抗</w:t>
      </w:r>
      <w:r>
        <w:rPr>
          <w:rFonts w:ascii="SimSun" w:eastAsia="SimSun" w:hAnsi="SimSun" w:cs="SimSun" w:hint="eastAsia"/>
        </w:rPr>
        <w:t>、</w:t>
      </w:r>
    </w:p>
    <w:p w14:paraId="2D2E7D36" w14:textId="24F76C7C" w:rsidR="00787BA5" w:rsidRPr="00E77AB9" w:rsidRDefault="00787BA5" w:rsidP="00787BA5">
      <w:pPr>
        <w:pStyle w:val="break-words"/>
        <w:numPr>
          <w:ilvl w:val="0"/>
          <w:numId w:val="60"/>
        </w:numPr>
        <w:rPr>
          <w:rFonts w:ascii="Songti TC" w:eastAsia="Songti TC" w:hAnsi="Songti TC" w:cstheme="minorBidi" w:hint="eastAsia"/>
          <w:b/>
          <w:bCs/>
          <w:kern w:val="2"/>
          <w14:ligatures w14:val="standardContextual"/>
        </w:rPr>
      </w:pPr>
      <w:r>
        <w:rPr>
          <w:rFonts w:ascii="SimSun" w:eastAsia="SimSun" w:hAnsi="SimSun" w:cs="SimSun" w:hint="eastAsia"/>
        </w:rPr>
        <w:t>辅助甲状腺癌复发</w:t>
      </w:r>
      <w:r>
        <w:t>/</w:t>
      </w:r>
      <w:r>
        <w:rPr>
          <w:rFonts w:ascii="SimSun" w:eastAsia="SimSun" w:hAnsi="SimSun" w:cs="SimSun" w:hint="eastAsia"/>
        </w:rPr>
        <w:t>预后风险分层</w:t>
      </w:r>
    </w:p>
    <w:p w14:paraId="572C7321" w14:textId="77777777" w:rsidR="00CE5FCB" w:rsidRPr="00CE5FCB" w:rsidRDefault="00CE5FCB" w:rsidP="005F53C8">
      <w:pPr>
        <w:spacing w:line="360" w:lineRule="auto"/>
        <w:jc w:val="both"/>
        <w:rPr>
          <w:rFonts w:ascii="Songti TC" w:eastAsia="Songti TC" w:hAnsi="Songti TC" w:hint="eastAsia"/>
        </w:rPr>
      </w:pPr>
      <w:r w:rsidRPr="00CE5FCB">
        <w:rPr>
          <w:rFonts w:ascii="Songti TC" w:eastAsia="Songti TC" w:hAnsi="Songti TC" w:hint="eastAsia"/>
        </w:rPr>
        <w:t>七、甲状腺癌的手术治疗有哪些选择？如何确定？</w:t>
      </w:r>
    </w:p>
    <w:p w14:paraId="47330B60" w14:textId="45E2B390" w:rsidR="00787BA5" w:rsidRPr="00787BA5" w:rsidRDefault="00787BA5" w:rsidP="00787BA5">
      <w:pPr>
        <w:spacing w:line="360" w:lineRule="auto"/>
        <w:jc w:val="both"/>
        <w:rPr>
          <w:rFonts w:ascii="Songti TC" w:eastAsia="Songti TC" w:hAnsi="Songti TC" w:hint="eastAsia"/>
        </w:rPr>
      </w:pPr>
      <w:r w:rsidRPr="00787BA5">
        <w:rPr>
          <w:rFonts w:ascii="Songti TC" w:eastAsia="Songti TC" w:hAnsi="Songti TC" w:hint="eastAsia"/>
        </w:rPr>
        <w:lastRenderedPageBreak/>
        <w:t>手术包括甲状腺叶切除、全甲状腺切除、淋巴结清扫术。</w:t>
      </w:r>
    </w:p>
    <w:p w14:paraId="4CA30793" w14:textId="250F6F3C" w:rsidR="00787BA5" w:rsidRDefault="00787BA5" w:rsidP="00787BA5">
      <w:pPr>
        <w:spacing w:line="360" w:lineRule="auto"/>
        <w:jc w:val="both"/>
        <w:rPr>
          <w:rFonts w:ascii="Songti TC" w:eastAsia="Songti TC" w:hAnsi="Songti TC"/>
        </w:rPr>
      </w:pPr>
      <w:r w:rsidRPr="00787BA5">
        <w:rPr>
          <w:rFonts w:ascii="Songti TC" w:eastAsia="Songti TC" w:hAnsi="Songti TC" w:hint="eastAsia"/>
        </w:rPr>
        <w:t>全切适用于高危病例（如肿瘤大或转移），腺叶切除适合低危单侧小癌。是否清扫淋巴结取决于转移情况，选择依据肿瘤类型和患者状况。</w:t>
      </w:r>
    </w:p>
    <w:p w14:paraId="356EE920" w14:textId="77777777" w:rsidR="00787BA5" w:rsidRPr="00787BA5" w:rsidRDefault="00787BA5" w:rsidP="00787BA5">
      <w:pPr>
        <w:pStyle w:val="break-words"/>
        <w:numPr>
          <w:ilvl w:val="0"/>
          <w:numId w:val="66"/>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甲状腺腺叶 + 峡部切除术</w:t>
      </w:r>
      <w:r w:rsidRPr="00787BA5">
        <w:rPr>
          <w:rFonts w:ascii="Songti TC" w:eastAsia="Songti TC" w:hAnsi="Songti TC" w:cstheme="minorBidi"/>
          <w:kern w:val="2"/>
          <w14:ligatures w14:val="standardContextual"/>
        </w:rPr>
        <w:t>：</w:t>
      </w:r>
    </w:p>
    <w:p w14:paraId="7AF23242" w14:textId="77777777" w:rsidR="00787BA5" w:rsidRPr="00787BA5" w:rsidRDefault="00787BA5" w:rsidP="00787BA5">
      <w:pPr>
        <w:pStyle w:val="break-words"/>
        <w:numPr>
          <w:ilvl w:val="0"/>
          <w:numId w:val="73"/>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适用条件</w:t>
      </w:r>
      <w:r w:rsidRPr="00787BA5">
        <w:rPr>
          <w:rFonts w:ascii="Songti TC" w:eastAsia="Songti TC" w:hAnsi="Songti TC" w:cstheme="minorBidi"/>
          <w:kern w:val="2"/>
          <w14:ligatures w14:val="standardContextual"/>
        </w:rPr>
        <w:t>：单发病灶局限于一侧腺叶；低危分化型甲状腺癌（DTC），肿瘤≤1 cm（cT1a），无腺外侵犯（cT1 - 2）、无淋巴结/远处转移（cN0M0）；相对适应证为肿瘤1 - 4 cm（cT2），满足全部条件：无头颈部放射史、无临床转移（cN0M0）、非侵袭性病理亚型（如滤泡型乳头状癌等）。</w:t>
      </w:r>
    </w:p>
    <w:p w14:paraId="387F12AD" w14:textId="77777777" w:rsidR="00787BA5" w:rsidRPr="00787BA5" w:rsidRDefault="00787BA5" w:rsidP="00787BA5">
      <w:pPr>
        <w:pStyle w:val="break-words"/>
        <w:numPr>
          <w:ilvl w:val="0"/>
          <w:numId w:val="68"/>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全/近全甲状腺切除术</w:t>
      </w:r>
      <w:r w:rsidRPr="00787BA5">
        <w:rPr>
          <w:rFonts w:ascii="Songti TC" w:eastAsia="Songti TC" w:hAnsi="Songti TC" w:cstheme="minorBidi"/>
          <w:kern w:val="2"/>
          <w14:ligatures w14:val="standardContextual"/>
        </w:rPr>
        <w:t>：</w:t>
      </w:r>
    </w:p>
    <w:p w14:paraId="7DFC44B2" w14:textId="77777777" w:rsidR="00787BA5" w:rsidRPr="00787BA5" w:rsidRDefault="00787BA5" w:rsidP="00787BA5">
      <w:pPr>
        <w:pStyle w:val="break-words"/>
        <w:numPr>
          <w:ilvl w:val="0"/>
          <w:numId w:val="73"/>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适用条件</w:t>
      </w:r>
      <w:r w:rsidRPr="00787BA5">
        <w:rPr>
          <w:rFonts w:ascii="Songti TC" w:eastAsia="Songti TC" w:hAnsi="Songti TC" w:cstheme="minorBidi"/>
          <w:kern w:val="2"/>
          <w14:ligatures w14:val="standardContextual"/>
        </w:rPr>
        <w:t>：高危特征包括肿瘤&gt;4 cm（cT3a）或明显腺外侵犯（cT3b/cT4）、淋巴结转移（cN1）或远处转移（cM1）、不良病理类型（高细胞型、弥漫硬化型PTC等）、多灶性肿瘤、双侧癌、需术后放射性碘（RAI）治疗（如远处转移）；相对适应证为肿瘤2 - 4 cm（cT2）伴高危因素（如家族史、可疑对侧结节）。</w:t>
      </w:r>
    </w:p>
    <w:p w14:paraId="51E4564D" w14:textId="77777777" w:rsidR="00787BA5" w:rsidRPr="00787BA5" w:rsidRDefault="00787BA5" w:rsidP="00787BA5">
      <w:pPr>
        <w:pStyle w:val="break-words"/>
        <w:numPr>
          <w:ilvl w:val="0"/>
          <w:numId w:val="70"/>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淋巴结处理原则</w:t>
      </w:r>
      <w:r w:rsidRPr="00787BA5">
        <w:rPr>
          <w:rFonts w:ascii="Songti TC" w:eastAsia="Songti TC" w:hAnsi="Songti TC" w:cstheme="minorBidi"/>
          <w:kern w:val="2"/>
          <w14:ligatures w14:val="standardContextual"/>
        </w:rPr>
        <w:t>：</w:t>
      </w:r>
    </w:p>
    <w:p w14:paraId="3FCFA88E" w14:textId="77777777" w:rsidR="00787BA5" w:rsidRPr="00787BA5" w:rsidRDefault="00787BA5" w:rsidP="00787BA5">
      <w:pPr>
        <w:pStyle w:val="break-words"/>
        <w:numPr>
          <w:ilvl w:val="0"/>
          <w:numId w:val="73"/>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中央区淋巴结清扫（CND）</w:t>
      </w:r>
      <w:r w:rsidRPr="00787BA5">
        <w:rPr>
          <w:rFonts w:ascii="Songti TC" w:eastAsia="Songti TC" w:hAnsi="Songti TC" w:cstheme="minorBidi"/>
          <w:kern w:val="2"/>
          <w14:ligatures w14:val="standardContextual"/>
        </w:rPr>
        <w:t>：治疗性清扫适用于术前或术中确诊转移（cN1a）；预防性清扫适用于高危cN0（如T3 - 4、多灶癌、头颈部放射史）；东亚地区（中日韩等国）倾向对确诊甲状腺癌的患者（尤其乳头状癌）均进行中央区淋巴结预防性清扫。</w:t>
      </w:r>
    </w:p>
    <w:p w14:paraId="1C822E99" w14:textId="77777777" w:rsidR="00787BA5" w:rsidRPr="00787BA5" w:rsidRDefault="00787BA5" w:rsidP="00787BA5">
      <w:pPr>
        <w:pStyle w:val="break-words"/>
        <w:numPr>
          <w:ilvl w:val="0"/>
          <w:numId w:val="73"/>
        </w:numPr>
        <w:rPr>
          <w:rFonts w:ascii="Songti TC" w:eastAsia="Songti TC" w:hAnsi="Songti TC" w:cstheme="minorBidi"/>
          <w:kern w:val="2"/>
          <w14:ligatures w14:val="standardContextual"/>
        </w:rPr>
      </w:pPr>
      <w:r w:rsidRPr="00787BA5">
        <w:rPr>
          <w:rFonts w:ascii="Songti TC" w:eastAsia="Songti TC" w:hAnsi="Songti TC" w:cstheme="minorBidi"/>
          <w:b/>
          <w:bCs/>
          <w:kern w:val="2"/>
          <w14:ligatures w14:val="standardContextual"/>
        </w:rPr>
        <w:t>颈侧区淋巴结清扫</w:t>
      </w:r>
      <w:r w:rsidRPr="00787BA5">
        <w:rPr>
          <w:rFonts w:ascii="Songti TC" w:eastAsia="Songti TC" w:hAnsi="Songti TC" w:cstheme="minorBidi"/>
          <w:kern w:val="2"/>
          <w14:ligatures w14:val="standardContextual"/>
        </w:rPr>
        <w:t>：治疗性清扫适用于术前确诊或术中发现侧颈转移（cN1b），最小径≥10 mm的复发病灶需手术；选择性清扫不推荐，除非高危患者（如侵袭性亚型、术中意外发现转移）。</w:t>
      </w:r>
    </w:p>
    <w:p w14:paraId="6E569802" w14:textId="287EBD0D" w:rsidR="00D95BA0" w:rsidRPr="00CE5FCB" w:rsidRDefault="00583BDF" w:rsidP="005F53C8">
      <w:pPr>
        <w:spacing w:line="360" w:lineRule="auto"/>
        <w:jc w:val="both"/>
        <w:rPr>
          <w:rFonts w:ascii="Songti TC" w:eastAsia="Songti TC" w:hAnsi="Songti TC"/>
        </w:rPr>
      </w:pPr>
      <w:r>
        <w:rPr>
          <w:noProof/>
        </w:rPr>
        <w:lastRenderedPageBreak/>
        <w:drawing>
          <wp:inline distT="0" distB="0" distL="0" distR="0" wp14:anchorId="3655DD62" wp14:editId="1ED5FC4E">
            <wp:extent cx="5943600" cy="5550195"/>
            <wp:effectExtent l="0" t="0" r="0" b="0"/>
            <wp:docPr id="1431386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4">
                      <a:extLst>
                        <a:ext uri="{28A0092B-C50C-407E-A947-70E740481C1C}">
                          <a14:useLocalDpi xmlns:a14="http://schemas.microsoft.com/office/drawing/2010/main" val="0"/>
                        </a:ext>
                      </a:extLst>
                    </a:blip>
                    <a:srcRect b="14569"/>
                    <a:stretch/>
                  </pic:blipFill>
                  <pic:spPr bwMode="auto">
                    <a:xfrm>
                      <a:off x="0" y="0"/>
                      <a:ext cx="5943600" cy="5550195"/>
                    </a:xfrm>
                    <a:prstGeom prst="rect">
                      <a:avLst/>
                    </a:prstGeom>
                    <a:noFill/>
                    <a:ln>
                      <a:noFill/>
                    </a:ln>
                    <a:extLst>
                      <a:ext uri="{53640926-AAD7-44D8-BBD7-CCE9431645EC}">
                        <a14:shadowObscured xmlns:a14="http://schemas.microsoft.com/office/drawing/2010/main"/>
                      </a:ext>
                    </a:extLst>
                  </pic:spPr>
                </pic:pic>
              </a:graphicData>
            </a:graphic>
          </wp:inline>
        </w:drawing>
      </w:r>
    </w:p>
    <w:p w14:paraId="36D7A6DD" w14:textId="77777777" w:rsidR="00CE5FCB" w:rsidRPr="00CE5FCB" w:rsidRDefault="00CE5FCB" w:rsidP="005F53C8">
      <w:pPr>
        <w:spacing w:line="360" w:lineRule="auto"/>
        <w:jc w:val="both"/>
        <w:rPr>
          <w:rFonts w:ascii="Songti TC" w:eastAsia="Songti TC" w:hAnsi="Songti TC" w:hint="eastAsia"/>
        </w:rPr>
      </w:pPr>
    </w:p>
    <w:sectPr w:rsidR="00CE5FCB" w:rsidRPr="00CE5F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ongti TC">
    <w:panose1 w:val="02010600040101010101"/>
    <w:charset w:val="88"/>
    <w:family w:val="auto"/>
    <w:pitch w:val="variable"/>
    <w:sig w:usb0="00000287" w:usb1="080F0000" w:usb2="00000010" w:usb3="00000000" w:csb0="001400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2D40"/>
    <w:multiLevelType w:val="multilevel"/>
    <w:tmpl w:val="3D2E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7AD1"/>
    <w:multiLevelType w:val="multilevel"/>
    <w:tmpl w:val="89B69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F0469"/>
    <w:multiLevelType w:val="hybridMultilevel"/>
    <w:tmpl w:val="DC90F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56D3E"/>
    <w:multiLevelType w:val="hybridMultilevel"/>
    <w:tmpl w:val="BA74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3D64F4"/>
    <w:multiLevelType w:val="multilevel"/>
    <w:tmpl w:val="889A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85184"/>
    <w:multiLevelType w:val="multilevel"/>
    <w:tmpl w:val="002AAF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A71306"/>
    <w:multiLevelType w:val="multilevel"/>
    <w:tmpl w:val="150E16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D3E63"/>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C504C3"/>
    <w:multiLevelType w:val="hybridMultilevel"/>
    <w:tmpl w:val="D3920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A773BE"/>
    <w:multiLevelType w:val="multilevel"/>
    <w:tmpl w:val="1756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82BE3"/>
    <w:multiLevelType w:val="multilevel"/>
    <w:tmpl w:val="CA1A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1B1058"/>
    <w:multiLevelType w:val="multilevel"/>
    <w:tmpl w:val="8090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2E08BD"/>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884771"/>
    <w:multiLevelType w:val="multilevel"/>
    <w:tmpl w:val="156ADF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3245DC"/>
    <w:multiLevelType w:val="multilevel"/>
    <w:tmpl w:val="A0E4C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4E6DA7"/>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3D0339"/>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5249D"/>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235501"/>
    <w:multiLevelType w:val="multilevel"/>
    <w:tmpl w:val="89B69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B44DAB"/>
    <w:multiLevelType w:val="multilevel"/>
    <w:tmpl w:val="8090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5F7133"/>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CA15DC"/>
    <w:multiLevelType w:val="multilevel"/>
    <w:tmpl w:val="7CD208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DA2639"/>
    <w:multiLevelType w:val="multilevel"/>
    <w:tmpl w:val="431E4E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0F7588"/>
    <w:multiLevelType w:val="multilevel"/>
    <w:tmpl w:val="7B1EB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D60CB9"/>
    <w:multiLevelType w:val="multilevel"/>
    <w:tmpl w:val="9890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57A1C"/>
    <w:multiLevelType w:val="multilevel"/>
    <w:tmpl w:val="9344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D70EC3"/>
    <w:multiLevelType w:val="multilevel"/>
    <w:tmpl w:val="8090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C70A79"/>
    <w:multiLevelType w:val="multilevel"/>
    <w:tmpl w:val="E02C89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351553"/>
    <w:multiLevelType w:val="multilevel"/>
    <w:tmpl w:val="92D8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816E1"/>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CA509E"/>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F5E04"/>
    <w:multiLevelType w:val="multilevel"/>
    <w:tmpl w:val="321A6E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E54451"/>
    <w:multiLevelType w:val="multilevel"/>
    <w:tmpl w:val="40402F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82722E"/>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A93DA6"/>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C151C2"/>
    <w:multiLevelType w:val="multilevel"/>
    <w:tmpl w:val="7BFE33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671422"/>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055DC3"/>
    <w:multiLevelType w:val="multilevel"/>
    <w:tmpl w:val="8D10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62069B"/>
    <w:multiLevelType w:val="multilevel"/>
    <w:tmpl w:val="182E07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2D376E"/>
    <w:multiLevelType w:val="hybridMultilevel"/>
    <w:tmpl w:val="7A3E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7735D4"/>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7853F4"/>
    <w:multiLevelType w:val="multilevel"/>
    <w:tmpl w:val="E338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8B3609"/>
    <w:multiLevelType w:val="multilevel"/>
    <w:tmpl w:val="89B69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2F532F"/>
    <w:multiLevelType w:val="multilevel"/>
    <w:tmpl w:val="89B69C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B1548"/>
    <w:multiLevelType w:val="multilevel"/>
    <w:tmpl w:val="38B617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8C29E1"/>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EA38C1"/>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77FD9"/>
    <w:multiLevelType w:val="multilevel"/>
    <w:tmpl w:val="DE62E4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7F5921"/>
    <w:multiLevelType w:val="hybridMultilevel"/>
    <w:tmpl w:val="141A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3C6712"/>
    <w:multiLevelType w:val="multilevel"/>
    <w:tmpl w:val="BBBE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096B54"/>
    <w:multiLevelType w:val="multilevel"/>
    <w:tmpl w:val="89B69C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2D7937"/>
    <w:multiLevelType w:val="multilevel"/>
    <w:tmpl w:val="1DCECE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38105E"/>
    <w:multiLevelType w:val="multilevel"/>
    <w:tmpl w:val="3E4E97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5E8724A"/>
    <w:multiLevelType w:val="hybridMultilevel"/>
    <w:tmpl w:val="308A9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93924DE"/>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2E563A"/>
    <w:multiLevelType w:val="multilevel"/>
    <w:tmpl w:val="75C6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AF384C"/>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6539A0"/>
    <w:multiLevelType w:val="multilevel"/>
    <w:tmpl w:val="FA76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4B7B3F"/>
    <w:multiLevelType w:val="multilevel"/>
    <w:tmpl w:val="F1E6C0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365707"/>
    <w:multiLevelType w:val="multilevel"/>
    <w:tmpl w:val="89B69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9A48E3"/>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9E3286"/>
    <w:multiLevelType w:val="multilevel"/>
    <w:tmpl w:val="0C8A70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0B2278"/>
    <w:multiLevelType w:val="multilevel"/>
    <w:tmpl w:val="168A06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0630C8"/>
    <w:multiLevelType w:val="multilevel"/>
    <w:tmpl w:val="89B69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AC56D9"/>
    <w:multiLevelType w:val="multilevel"/>
    <w:tmpl w:val="89B69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345226"/>
    <w:multiLevelType w:val="hybridMultilevel"/>
    <w:tmpl w:val="848EC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132E4C"/>
    <w:multiLevelType w:val="multilevel"/>
    <w:tmpl w:val="8090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4372D7"/>
    <w:multiLevelType w:val="multilevel"/>
    <w:tmpl w:val="89B69C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352641"/>
    <w:multiLevelType w:val="multilevel"/>
    <w:tmpl w:val="89B69C58"/>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15:restartNumberingAfterBreak="0">
    <w:nsid w:val="72D77B14"/>
    <w:multiLevelType w:val="multilevel"/>
    <w:tmpl w:val="8090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BB5C5C"/>
    <w:multiLevelType w:val="multilevel"/>
    <w:tmpl w:val="E6944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5E20C5"/>
    <w:multiLevelType w:val="multilevel"/>
    <w:tmpl w:val="BB5C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2A3CEE"/>
    <w:multiLevelType w:val="multilevel"/>
    <w:tmpl w:val="89B69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069203">
    <w:abstractNumId w:val="4"/>
  </w:num>
  <w:num w:numId="2" w16cid:durableId="173424983">
    <w:abstractNumId w:val="22"/>
  </w:num>
  <w:num w:numId="3" w16cid:durableId="1936480729">
    <w:abstractNumId w:val="58"/>
  </w:num>
  <w:num w:numId="4" w16cid:durableId="708259197">
    <w:abstractNumId w:val="25"/>
  </w:num>
  <w:num w:numId="5" w16cid:durableId="60256376">
    <w:abstractNumId w:val="24"/>
  </w:num>
  <w:num w:numId="6" w16cid:durableId="594048507">
    <w:abstractNumId w:val="37"/>
  </w:num>
  <w:num w:numId="7" w16cid:durableId="51738026">
    <w:abstractNumId w:val="13"/>
  </w:num>
  <w:num w:numId="8" w16cid:durableId="1259099393">
    <w:abstractNumId w:val="47"/>
  </w:num>
  <w:num w:numId="9" w16cid:durableId="420295696">
    <w:abstractNumId w:val="27"/>
  </w:num>
  <w:num w:numId="10" w16cid:durableId="523787607">
    <w:abstractNumId w:val="57"/>
  </w:num>
  <w:num w:numId="11" w16cid:durableId="94518982">
    <w:abstractNumId w:val="28"/>
  </w:num>
  <w:num w:numId="12" w16cid:durableId="762381028">
    <w:abstractNumId w:val="0"/>
  </w:num>
  <w:num w:numId="13" w16cid:durableId="745028701">
    <w:abstractNumId w:val="49"/>
  </w:num>
  <w:num w:numId="14" w16cid:durableId="327907890">
    <w:abstractNumId w:val="6"/>
  </w:num>
  <w:num w:numId="15" w16cid:durableId="1081560627">
    <w:abstractNumId w:val="35"/>
  </w:num>
  <w:num w:numId="16" w16cid:durableId="1558935975">
    <w:abstractNumId w:val="48"/>
  </w:num>
  <w:num w:numId="17" w16cid:durableId="1820920381">
    <w:abstractNumId w:val="9"/>
  </w:num>
  <w:num w:numId="18" w16cid:durableId="1935241005">
    <w:abstractNumId w:val="55"/>
  </w:num>
  <w:num w:numId="19" w16cid:durableId="2125609519">
    <w:abstractNumId w:val="70"/>
  </w:num>
  <w:num w:numId="20" w16cid:durableId="225917705">
    <w:abstractNumId w:val="21"/>
  </w:num>
  <w:num w:numId="21" w16cid:durableId="1938362415">
    <w:abstractNumId w:val="31"/>
  </w:num>
  <w:num w:numId="22" w16cid:durableId="2078169505">
    <w:abstractNumId w:val="5"/>
  </w:num>
  <w:num w:numId="23" w16cid:durableId="1585869387">
    <w:abstractNumId w:val="65"/>
  </w:num>
  <w:num w:numId="24" w16cid:durableId="1878001565">
    <w:abstractNumId w:val="10"/>
  </w:num>
  <w:num w:numId="25" w16cid:durableId="1691562149">
    <w:abstractNumId w:val="71"/>
  </w:num>
  <w:num w:numId="26" w16cid:durableId="1941446407">
    <w:abstractNumId w:val="41"/>
  </w:num>
  <w:num w:numId="27" w16cid:durableId="843130786">
    <w:abstractNumId w:val="16"/>
  </w:num>
  <w:num w:numId="28" w16cid:durableId="1919367067">
    <w:abstractNumId w:val="14"/>
  </w:num>
  <w:num w:numId="29" w16cid:durableId="873150252">
    <w:abstractNumId w:val="61"/>
  </w:num>
  <w:num w:numId="30" w16cid:durableId="329871020">
    <w:abstractNumId w:val="11"/>
  </w:num>
  <w:num w:numId="31" w16cid:durableId="1581787722">
    <w:abstractNumId w:val="23"/>
  </w:num>
  <w:num w:numId="32" w16cid:durableId="259685397">
    <w:abstractNumId w:val="51"/>
  </w:num>
  <w:num w:numId="33" w16cid:durableId="1379010070">
    <w:abstractNumId w:val="44"/>
  </w:num>
  <w:num w:numId="34" w16cid:durableId="1628777070">
    <w:abstractNumId w:val="38"/>
  </w:num>
  <w:num w:numId="35" w16cid:durableId="464397215">
    <w:abstractNumId w:val="32"/>
  </w:num>
  <w:num w:numId="36" w16cid:durableId="1678264835">
    <w:abstractNumId w:val="62"/>
  </w:num>
  <w:num w:numId="37" w16cid:durableId="657921373">
    <w:abstractNumId w:val="52"/>
  </w:num>
  <w:num w:numId="38" w16cid:durableId="2042783629">
    <w:abstractNumId w:val="53"/>
  </w:num>
  <w:num w:numId="39" w16cid:durableId="279726167">
    <w:abstractNumId w:val="2"/>
  </w:num>
  <w:num w:numId="40" w16cid:durableId="847446767">
    <w:abstractNumId w:val="68"/>
  </w:num>
  <w:num w:numId="41" w16cid:durableId="1186674091">
    <w:abstractNumId w:val="45"/>
  </w:num>
  <w:num w:numId="42" w16cid:durableId="876697478">
    <w:abstractNumId w:val="69"/>
  </w:num>
  <w:num w:numId="43" w16cid:durableId="326439587">
    <w:abstractNumId w:val="26"/>
  </w:num>
  <w:num w:numId="44" w16cid:durableId="1219508819">
    <w:abstractNumId w:val="66"/>
  </w:num>
  <w:num w:numId="45" w16cid:durableId="1849904244">
    <w:abstractNumId w:val="19"/>
  </w:num>
  <w:num w:numId="46" w16cid:durableId="1096052841">
    <w:abstractNumId w:val="39"/>
  </w:num>
  <w:num w:numId="47" w16cid:durableId="1651981800">
    <w:abstractNumId w:val="17"/>
  </w:num>
  <w:num w:numId="48" w16cid:durableId="1829786209">
    <w:abstractNumId w:val="56"/>
  </w:num>
  <w:num w:numId="49" w16cid:durableId="595556924">
    <w:abstractNumId w:val="33"/>
  </w:num>
  <w:num w:numId="50" w16cid:durableId="795223828">
    <w:abstractNumId w:val="42"/>
  </w:num>
  <w:num w:numId="51" w16cid:durableId="1307857424">
    <w:abstractNumId w:val="50"/>
  </w:num>
  <w:num w:numId="52" w16cid:durableId="194779935">
    <w:abstractNumId w:val="43"/>
  </w:num>
  <w:num w:numId="53" w16cid:durableId="2033801234">
    <w:abstractNumId w:val="30"/>
  </w:num>
  <w:num w:numId="54" w16cid:durableId="48655418">
    <w:abstractNumId w:val="54"/>
  </w:num>
  <w:num w:numId="55" w16cid:durableId="1372195381">
    <w:abstractNumId w:val="18"/>
  </w:num>
  <w:num w:numId="56" w16cid:durableId="1830904477">
    <w:abstractNumId w:val="15"/>
  </w:num>
  <w:num w:numId="57" w16cid:durableId="1806578718">
    <w:abstractNumId w:val="60"/>
  </w:num>
  <w:num w:numId="58" w16cid:durableId="89398591">
    <w:abstractNumId w:val="64"/>
  </w:num>
  <w:num w:numId="59" w16cid:durableId="1763407006">
    <w:abstractNumId w:val="29"/>
  </w:num>
  <w:num w:numId="60" w16cid:durableId="2086027754">
    <w:abstractNumId w:val="20"/>
  </w:num>
  <w:num w:numId="61" w16cid:durableId="286089951">
    <w:abstractNumId w:val="7"/>
  </w:num>
  <w:num w:numId="62" w16cid:durableId="261887787">
    <w:abstractNumId w:val="46"/>
  </w:num>
  <w:num w:numId="63" w16cid:durableId="1998874021">
    <w:abstractNumId w:val="59"/>
  </w:num>
  <w:num w:numId="64" w16cid:durableId="1964383679">
    <w:abstractNumId w:val="67"/>
  </w:num>
  <w:num w:numId="65" w16cid:durableId="1445687800">
    <w:abstractNumId w:val="8"/>
  </w:num>
  <w:num w:numId="66" w16cid:durableId="1460343676">
    <w:abstractNumId w:val="34"/>
  </w:num>
  <w:num w:numId="67" w16cid:durableId="439301285">
    <w:abstractNumId w:val="36"/>
  </w:num>
  <w:num w:numId="68" w16cid:durableId="1950820130">
    <w:abstractNumId w:val="12"/>
  </w:num>
  <w:num w:numId="69" w16cid:durableId="1073087005">
    <w:abstractNumId w:val="40"/>
  </w:num>
  <w:num w:numId="70" w16cid:durableId="1777746602">
    <w:abstractNumId w:val="1"/>
  </w:num>
  <w:num w:numId="71" w16cid:durableId="933587547">
    <w:abstractNumId w:val="63"/>
  </w:num>
  <w:num w:numId="72" w16cid:durableId="901869966">
    <w:abstractNumId w:val="72"/>
  </w:num>
  <w:num w:numId="73" w16cid:durableId="339891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A0"/>
    <w:rsid w:val="000F2708"/>
    <w:rsid w:val="001706D2"/>
    <w:rsid w:val="003E1625"/>
    <w:rsid w:val="00503B6A"/>
    <w:rsid w:val="00583BDF"/>
    <w:rsid w:val="00597676"/>
    <w:rsid w:val="005F53C8"/>
    <w:rsid w:val="00787BA5"/>
    <w:rsid w:val="008F0C80"/>
    <w:rsid w:val="00B50E86"/>
    <w:rsid w:val="00C539D1"/>
    <w:rsid w:val="00CD16EB"/>
    <w:rsid w:val="00CE5FCB"/>
    <w:rsid w:val="00D03FFE"/>
    <w:rsid w:val="00D62740"/>
    <w:rsid w:val="00D95BA0"/>
    <w:rsid w:val="00DB1C33"/>
    <w:rsid w:val="00E135BA"/>
    <w:rsid w:val="00E77AB9"/>
    <w:rsid w:val="00F66CE3"/>
    <w:rsid w:val="00F71B1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EB2C"/>
  <w15:chartTrackingRefBased/>
  <w15:docId w15:val="{38B8FFC8-6231-704F-A30D-57C134251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B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B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5B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95B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B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B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B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B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B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B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5B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95B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B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B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B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B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BA0"/>
    <w:rPr>
      <w:rFonts w:eastAsiaTheme="majorEastAsia" w:cstheme="majorBidi"/>
      <w:color w:val="272727" w:themeColor="text1" w:themeTint="D8"/>
    </w:rPr>
  </w:style>
  <w:style w:type="paragraph" w:styleId="Title">
    <w:name w:val="Title"/>
    <w:basedOn w:val="Normal"/>
    <w:next w:val="Normal"/>
    <w:link w:val="TitleChar"/>
    <w:uiPriority w:val="10"/>
    <w:qFormat/>
    <w:rsid w:val="00D95B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B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B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B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BA0"/>
    <w:pPr>
      <w:spacing w:before="160"/>
      <w:jc w:val="center"/>
    </w:pPr>
    <w:rPr>
      <w:i/>
      <w:iCs/>
      <w:color w:val="404040" w:themeColor="text1" w:themeTint="BF"/>
    </w:rPr>
  </w:style>
  <w:style w:type="character" w:customStyle="1" w:styleId="QuoteChar">
    <w:name w:val="Quote Char"/>
    <w:basedOn w:val="DefaultParagraphFont"/>
    <w:link w:val="Quote"/>
    <w:uiPriority w:val="29"/>
    <w:rsid w:val="00D95BA0"/>
    <w:rPr>
      <w:i/>
      <w:iCs/>
      <w:color w:val="404040" w:themeColor="text1" w:themeTint="BF"/>
    </w:rPr>
  </w:style>
  <w:style w:type="paragraph" w:styleId="ListParagraph">
    <w:name w:val="List Paragraph"/>
    <w:basedOn w:val="Normal"/>
    <w:uiPriority w:val="34"/>
    <w:qFormat/>
    <w:rsid w:val="00D95BA0"/>
    <w:pPr>
      <w:ind w:left="720"/>
      <w:contextualSpacing/>
    </w:pPr>
  </w:style>
  <w:style w:type="character" w:styleId="IntenseEmphasis">
    <w:name w:val="Intense Emphasis"/>
    <w:basedOn w:val="DefaultParagraphFont"/>
    <w:uiPriority w:val="21"/>
    <w:qFormat/>
    <w:rsid w:val="00D95BA0"/>
    <w:rPr>
      <w:i/>
      <w:iCs/>
      <w:color w:val="0F4761" w:themeColor="accent1" w:themeShade="BF"/>
    </w:rPr>
  </w:style>
  <w:style w:type="paragraph" w:styleId="IntenseQuote">
    <w:name w:val="Intense Quote"/>
    <w:basedOn w:val="Normal"/>
    <w:next w:val="Normal"/>
    <w:link w:val="IntenseQuoteChar"/>
    <w:uiPriority w:val="30"/>
    <w:qFormat/>
    <w:rsid w:val="00D95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BA0"/>
    <w:rPr>
      <w:i/>
      <w:iCs/>
      <w:color w:val="0F4761" w:themeColor="accent1" w:themeShade="BF"/>
    </w:rPr>
  </w:style>
  <w:style w:type="character" w:styleId="IntenseReference">
    <w:name w:val="Intense Reference"/>
    <w:basedOn w:val="DefaultParagraphFont"/>
    <w:uiPriority w:val="32"/>
    <w:qFormat/>
    <w:rsid w:val="00D95BA0"/>
    <w:rPr>
      <w:b/>
      <w:bCs/>
      <w:smallCaps/>
      <w:color w:val="0F4761" w:themeColor="accent1" w:themeShade="BF"/>
      <w:spacing w:val="5"/>
    </w:rPr>
  </w:style>
  <w:style w:type="paragraph" w:customStyle="1" w:styleId="break-words">
    <w:name w:val="break-words"/>
    <w:basedOn w:val="Normal"/>
    <w:rsid w:val="00CE5FC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E5FCB"/>
    <w:rPr>
      <w:b/>
      <w:bCs/>
    </w:rPr>
  </w:style>
  <w:style w:type="paragraph" w:styleId="NormalWeb">
    <w:name w:val="Normal (Web)"/>
    <w:basedOn w:val="Normal"/>
    <w:uiPriority w:val="99"/>
    <w:semiHidden/>
    <w:unhideWhenUsed/>
    <w:rsid w:val="005F53C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late-color">
    <w:name w:val="slate-color"/>
    <w:basedOn w:val="DefaultParagraphFont"/>
    <w:rsid w:val="00F66CE3"/>
  </w:style>
  <w:style w:type="table" w:styleId="GridTable1Light-Accent4">
    <w:name w:val="Grid Table 1 Light Accent 4"/>
    <w:basedOn w:val="TableNormal"/>
    <w:uiPriority w:val="46"/>
    <w:rsid w:val="00F66CE3"/>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numbering" w:customStyle="1" w:styleId="CurrentList1">
    <w:name w:val="Current List1"/>
    <w:uiPriority w:val="99"/>
    <w:rsid w:val="00F66CE3"/>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76626">
      <w:bodyDiv w:val="1"/>
      <w:marLeft w:val="0"/>
      <w:marRight w:val="0"/>
      <w:marTop w:val="0"/>
      <w:marBottom w:val="0"/>
      <w:divBdr>
        <w:top w:val="none" w:sz="0" w:space="0" w:color="auto"/>
        <w:left w:val="none" w:sz="0" w:space="0" w:color="auto"/>
        <w:bottom w:val="none" w:sz="0" w:space="0" w:color="auto"/>
        <w:right w:val="none" w:sz="0" w:space="0" w:color="auto"/>
      </w:divBdr>
    </w:div>
    <w:div w:id="131102217">
      <w:bodyDiv w:val="1"/>
      <w:marLeft w:val="0"/>
      <w:marRight w:val="0"/>
      <w:marTop w:val="0"/>
      <w:marBottom w:val="0"/>
      <w:divBdr>
        <w:top w:val="none" w:sz="0" w:space="0" w:color="auto"/>
        <w:left w:val="none" w:sz="0" w:space="0" w:color="auto"/>
        <w:bottom w:val="none" w:sz="0" w:space="0" w:color="auto"/>
        <w:right w:val="none" w:sz="0" w:space="0" w:color="auto"/>
      </w:divBdr>
    </w:div>
    <w:div w:id="132871237">
      <w:bodyDiv w:val="1"/>
      <w:marLeft w:val="0"/>
      <w:marRight w:val="0"/>
      <w:marTop w:val="0"/>
      <w:marBottom w:val="0"/>
      <w:divBdr>
        <w:top w:val="none" w:sz="0" w:space="0" w:color="auto"/>
        <w:left w:val="none" w:sz="0" w:space="0" w:color="auto"/>
        <w:bottom w:val="none" w:sz="0" w:space="0" w:color="auto"/>
        <w:right w:val="none" w:sz="0" w:space="0" w:color="auto"/>
      </w:divBdr>
      <w:divsChild>
        <w:div w:id="1017121621">
          <w:marLeft w:val="0"/>
          <w:marRight w:val="0"/>
          <w:marTop w:val="0"/>
          <w:marBottom w:val="0"/>
          <w:divBdr>
            <w:top w:val="none" w:sz="0" w:space="0" w:color="auto"/>
            <w:left w:val="none" w:sz="0" w:space="0" w:color="auto"/>
            <w:bottom w:val="none" w:sz="0" w:space="0" w:color="auto"/>
            <w:right w:val="none" w:sz="0" w:space="0" w:color="auto"/>
          </w:divBdr>
        </w:div>
        <w:div w:id="1401781557">
          <w:marLeft w:val="0"/>
          <w:marRight w:val="0"/>
          <w:marTop w:val="0"/>
          <w:marBottom w:val="0"/>
          <w:divBdr>
            <w:top w:val="none" w:sz="0" w:space="0" w:color="auto"/>
            <w:left w:val="none" w:sz="0" w:space="0" w:color="auto"/>
            <w:bottom w:val="none" w:sz="0" w:space="0" w:color="auto"/>
            <w:right w:val="none" w:sz="0" w:space="0" w:color="auto"/>
          </w:divBdr>
        </w:div>
        <w:div w:id="1906908631">
          <w:marLeft w:val="0"/>
          <w:marRight w:val="0"/>
          <w:marTop w:val="0"/>
          <w:marBottom w:val="0"/>
          <w:divBdr>
            <w:top w:val="none" w:sz="0" w:space="0" w:color="auto"/>
            <w:left w:val="none" w:sz="0" w:space="0" w:color="auto"/>
            <w:bottom w:val="none" w:sz="0" w:space="0" w:color="auto"/>
            <w:right w:val="none" w:sz="0" w:space="0" w:color="auto"/>
          </w:divBdr>
        </w:div>
        <w:div w:id="1392190126">
          <w:marLeft w:val="0"/>
          <w:marRight w:val="0"/>
          <w:marTop w:val="0"/>
          <w:marBottom w:val="0"/>
          <w:divBdr>
            <w:top w:val="none" w:sz="0" w:space="0" w:color="auto"/>
            <w:left w:val="none" w:sz="0" w:space="0" w:color="auto"/>
            <w:bottom w:val="none" w:sz="0" w:space="0" w:color="auto"/>
            <w:right w:val="none" w:sz="0" w:space="0" w:color="auto"/>
          </w:divBdr>
        </w:div>
        <w:div w:id="866018851">
          <w:marLeft w:val="0"/>
          <w:marRight w:val="0"/>
          <w:marTop w:val="0"/>
          <w:marBottom w:val="0"/>
          <w:divBdr>
            <w:top w:val="none" w:sz="0" w:space="0" w:color="auto"/>
            <w:left w:val="none" w:sz="0" w:space="0" w:color="auto"/>
            <w:bottom w:val="none" w:sz="0" w:space="0" w:color="auto"/>
            <w:right w:val="none" w:sz="0" w:space="0" w:color="auto"/>
          </w:divBdr>
        </w:div>
        <w:div w:id="2100639821">
          <w:marLeft w:val="0"/>
          <w:marRight w:val="0"/>
          <w:marTop w:val="0"/>
          <w:marBottom w:val="0"/>
          <w:divBdr>
            <w:top w:val="none" w:sz="0" w:space="0" w:color="auto"/>
            <w:left w:val="none" w:sz="0" w:space="0" w:color="auto"/>
            <w:bottom w:val="none" w:sz="0" w:space="0" w:color="auto"/>
            <w:right w:val="none" w:sz="0" w:space="0" w:color="auto"/>
          </w:divBdr>
        </w:div>
        <w:div w:id="508061620">
          <w:marLeft w:val="0"/>
          <w:marRight w:val="0"/>
          <w:marTop w:val="0"/>
          <w:marBottom w:val="0"/>
          <w:divBdr>
            <w:top w:val="none" w:sz="0" w:space="0" w:color="auto"/>
            <w:left w:val="none" w:sz="0" w:space="0" w:color="auto"/>
            <w:bottom w:val="none" w:sz="0" w:space="0" w:color="auto"/>
            <w:right w:val="none" w:sz="0" w:space="0" w:color="auto"/>
          </w:divBdr>
        </w:div>
      </w:divsChild>
    </w:div>
    <w:div w:id="150878900">
      <w:bodyDiv w:val="1"/>
      <w:marLeft w:val="0"/>
      <w:marRight w:val="0"/>
      <w:marTop w:val="0"/>
      <w:marBottom w:val="0"/>
      <w:divBdr>
        <w:top w:val="none" w:sz="0" w:space="0" w:color="auto"/>
        <w:left w:val="none" w:sz="0" w:space="0" w:color="auto"/>
        <w:bottom w:val="none" w:sz="0" w:space="0" w:color="auto"/>
        <w:right w:val="none" w:sz="0" w:space="0" w:color="auto"/>
      </w:divBdr>
      <w:divsChild>
        <w:div w:id="938487325">
          <w:marLeft w:val="0"/>
          <w:marRight w:val="0"/>
          <w:marTop w:val="0"/>
          <w:marBottom w:val="0"/>
          <w:divBdr>
            <w:top w:val="none" w:sz="0" w:space="0" w:color="auto"/>
            <w:left w:val="none" w:sz="0" w:space="0" w:color="auto"/>
            <w:bottom w:val="none" w:sz="0" w:space="0" w:color="auto"/>
            <w:right w:val="none" w:sz="0" w:space="0" w:color="auto"/>
          </w:divBdr>
        </w:div>
        <w:div w:id="1630818295">
          <w:marLeft w:val="0"/>
          <w:marRight w:val="0"/>
          <w:marTop w:val="0"/>
          <w:marBottom w:val="0"/>
          <w:divBdr>
            <w:top w:val="none" w:sz="0" w:space="0" w:color="auto"/>
            <w:left w:val="none" w:sz="0" w:space="0" w:color="auto"/>
            <w:bottom w:val="none" w:sz="0" w:space="0" w:color="auto"/>
            <w:right w:val="none" w:sz="0" w:space="0" w:color="auto"/>
          </w:divBdr>
        </w:div>
        <w:div w:id="1070343691">
          <w:marLeft w:val="0"/>
          <w:marRight w:val="0"/>
          <w:marTop w:val="0"/>
          <w:marBottom w:val="0"/>
          <w:divBdr>
            <w:top w:val="none" w:sz="0" w:space="0" w:color="auto"/>
            <w:left w:val="none" w:sz="0" w:space="0" w:color="auto"/>
            <w:bottom w:val="none" w:sz="0" w:space="0" w:color="auto"/>
            <w:right w:val="none" w:sz="0" w:space="0" w:color="auto"/>
          </w:divBdr>
        </w:div>
        <w:div w:id="328293316">
          <w:marLeft w:val="0"/>
          <w:marRight w:val="0"/>
          <w:marTop w:val="0"/>
          <w:marBottom w:val="0"/>
          <w:divBdr>
            <w:top w:val="none" w:sz="0" w:space="0" w:color="auto"/>
            <w:left w:val="none" w:sz="0" w:space="0" w:color="auto"/>
            <w:bottom w:val="none" w:sz="0" w:space="0" w:color="auto"/>
            <w:right w:val="none" w:sz="0" w:space="0" w:color="auto"/>
          </w:divBdr>
        </w:div>
        <w:div w:id="91360803">
          <w:marLeft w:val="0"/>
          <w:marRight w:val="0"/>
          <w:marTop w:val="0"/>
          <w:marBottom w:val="0"/>
          <w:divBdr>
            <w:top w:val="none" w:sz="0" w:space="0" w:color="auto"/>
            <w:left w:val="none" w:sz="0" w:space="0" w:color="auto"/>
            <w:bottom w:val="none" w:sz="0" w:space="0" w:color="auto"/>
            <w:right w:val="none" w:sz="0" w:space="0" w:color="auto"/>
          </w:divBdr>
        </w:div>
        <w:div w:id="1927839341">
          <w:marLeft w:val="0"/>
          <w:marRight w:val="0"/>
          <w:marTop w:val="0"/>
          <w:marBottom w:val="0"/>
          <w:divBdr>
            <w:top w:val="none" w:sz="0" w:space="0" w:color="auto"/>
            <w:left w:val="none" w:sz="0" w:space="0" w:color="auto"/>
            <w:bottom w:val="none" w:sz="0" w:space="0" w:color="auto"/>
            <w:right w:val="none" w:sz="0" w:space="0" w:color="auto"/>
          </w:divBdr>
        </w:div>
        <w:div w:id="988830661">
          <w:marLeft w:val="0"/>
          <w:marRight w:val="0"/>
          <w:marTop w:val="0"/>
          <w:marBottom w:val="0"/>
          <w:divBdr>
            <w:top w:val="none" w:sz="0" w:space="0" w:color="auto"/>
            <w:left w:val="none" w:sz="0" w:space="0" w:color="auto"/>
            <w:bottom w:val="none" w:sz="0" w:space="0" w:color="auto"/>
            <w:right w:val="none" w:sz="0" w:space="0" w:color="auto"/>
          </w:divBdr>
        </w:div>
        <w:div w:id="1743677368">
          <w:marLeft w:val="0"/>
          <w:marRight w:val="0"/>
          <w:marTop w:val="0"/>
          <w:marBottom w:val="0"/>
          <w:divBdr>
            <w:top w:val="none" w:sz="0" w:space="0" w:color="auto"/>
            <w:left w:val="none" w:sz="0" w:space="0" w:color="auto"/>
            <w:bottom w:val="none" w:sz="0" w:space="0" w:color="auto"/>
            <w:right w:val="none" w:sz="0" w:space="0" w:color="auto"/>
          </w:divBdr>
        </w:div>
        <w:div w:id="1246036504">
          <w:marLeft w:val="0"/>
          <w:marRight w:val="0"/>
          <w:marTop w:val="0"/>
          <w:marBottom w:val="0"/>
          <w:divBdr>
            <w:top w:val="none" w:sz="0" w:space="0" w:color="auto"/>
            <w:left w:val="none" w:sz="0" w:space="0" w:color="auto"/>
            <w:bottom w:val="none" w:sz="0" w:space="0" w:color="auto"/>
            <w:right w:val="none" w:sz="0" w:space="0" w:color="auto"/>
          </w:divBdr>
        </w:div>
        <w:div w:id="734864362">
          <w:marLeft w:val="0"/>
          <w:marRight w:val="0"/>
          <w:marTop w:val="0"/>
          <w:marBottom w:val="0"/>
          <w:divBdr>
            <w:top w:val="none" w:sz="0" w:space="0" w:color="auto"/>
            <w:left w:val="none" w:sz="0" w:space="0" w:color="auto"/>
            <w:bottom w:val="none" w:sz="0" w:space="0" w:color="auto"/>
            <w:right w:val="none" w:sz="0" w:space="0" w:color="auto"/>
          </w:divBdr>
        </w:div>
        <w:div w:id="1305938231">
          <w:marLeft w:val="0"/>
          <w:marRight w:val="0"/>
          <w:marTop w:val="0"/>
          <w:marBottom w:val="0"/>
          <w:divBdr>
            <w:top w:val="none" w:sz="0" w:space="0" w:color="auto"/>
            <w:left w:val="none" w:sz="0" w:space="0" w:color="auto"/>
            <w:bottom w:val="none" w:sz="0" w:space="0" w:color="auto"/>
            <w:right w:val="none" w:sz="0" w:space="0" w:color="auto"/>
          </w:divBdr>
        </w:div>
      </w:divsChild>
    </w:div>
    <w:div w:id="176387559">
      <w:bodyDiv w:val="1"/>
      <w:marLeft w:val="0"/>
      <w:marRight w:val="0"/>
      <w:marTop w:val="0"/>
      <w:marBottom w:val="0"/>
      <w:divBdr>
        <w:top w:val="none" w:sz="0" w:space="0" w:color="auto"/>
        <w:left w:val="none" w:sz="0" w:space="0" w:color="auto"/>
        <w:bottom w:val="none" w:sz="0" w:space="0" w:color="auto"/>
        <w:right w:val="none" w:sz="0" w:space="0" w:color="auto"/>
      </w:divBdr>
      <w:divsChild>
        <w:div w:id="851724113">
          <w:marLeft w:val="0"/>
          <w:marRight w:val="0"/>
          <w:marTop w:val="0"/>
          <w:marBottom w:val="0"/>
          <w:divBdr>
            <w:top w:val="none" w:sz="0" w:space="0" w:color="auto"/>
            <w:left w:val="none" w:sz="0" w:space="0" w:color="auto"/>
            <w:bottom w:val="none" w:sz="0" w:space="0" w:color="auto"/>
            <w:right w:val="none" w:sz="0" w:space="0" w:color="auto"/>
          </w:divBdr>
        </w:div>
        <w:div w:id="1686832118">
          <w:marLeft w:val="0"/>
          <w:marRight w:val="0"/>
          <w:marTop w:val="0"/>
          <w:marBottom w:val="0"/>
          <w:divBdr>
            <w:top w:val="none" w:sz="0" w:space="0" w:color="auto"/>
            <w:left w:val="none" w:sz="0" w:space="0" w:color="auto"/>
            <w:bottom w:val="none" w:sz="0" w:space="0" w:color="auto"/>
            <w:right w:val="none" w:sz="0" w:space="0" w:color="auto"/>
          </w:divBdr>
        </w:div>
        <w:div w:id="1052733690">
          <w:marLeft w:val="0"/>
          <w:marRight w:val="0"/>
          <w:marTop w:val="0"/>
          <w:marBottom w:val="0"/>
          <w:divBdr>
            <w:top w:val="none" w:sz="0" w:space="0" w:color="auto"/>
            <w:left w:val="none" w:sz="0" w:space="0" w:color="auto"/>
            <w:bottom w:val="none" w:sz="0" w:space="0" w:color="auto"/>
            <w:right w:val="none" w:sz="0" w:space="0" w:color="auto"/>
          </w:divBdr>
        </w:div>
        <w:div w:id="1980111159">
          <w:marLeft w:val="0"/>
          <w:marRight w:val="0"/>
          <w:marTop w:val="0"/>
          <w:marBottom w:val="0"/>
          <w:divBdr>
            <w:top w:val="none" w:sz="0" w:space="0" w:color="auto"/>
            <w:left w:val="none" w:sz="0" w:space="0" w:color="auto"/>
            <w:bottom w:val="none" w:sz="0" w:space="0" w:color="auto"/>
            <w:right w:val="none" w:sz="0" w:space="0" w:color="auto"/>
          </w:divBdr>
        </w:div>
        <w:div w:id="815492884">
          <w:marLeft w:val="0"/>
          <w:marRight w:val="0"/>
          <w:marTop w:val="0"/>
          <w:marBottom w:val="0"/>
          <w:divBdr>
            <w:top w:val="none" w:sz="0" w:space="0" w:color="auto"/>
            <w:left w:val="none" w:sz="0" w:space="0" w:color="auto"/>
            <w:bottom w:val="none" w:sz="0" w:space="0" w:color="auto"/>
            <w:right w:val="none" w:sz="0" w:space="0" w:color="auto"/>
          </w:divBdr>
        </w:div>
        <w:div w:id="1386223271">
          <w:marLeft w:val="0"/>
          <w:marRight w:val="0"/>
          <w:marTop w:val="0"/>
          <w:marBottom w:val="0"/>
          <w:divBdr>
            <w:top w:val="none" w:sz="0" w:space="0" w:color="auto"/>
            <w:left w:val="none" w:sz="0" w:space="0" w:color="auto"/>
            <w:bottom w:val="none" w:sz="0" w:space="0" w:color="auto"/>
            <w:right w:val="none" w:sz="0" w:space="0" w:color="auto"/>
          </w:divBdr>
        </w:div>
      </w:divsChild>
    </w:div>
    <w:div w:id="198977858">
      <w:bodyDiv w:val="1"/>
      <w:marLeft w:val="0"/>
      <w:marRight w:val="0"/>
      <w:marTop w:val="0"/>
      <w:marBottom w:val="0"/>
      <w:divBdr>
        <w:top w:val="none" w:sz="0" w:space="0" w:color="auto"/>
        <w:left w:val="none" w:sz="0" w:space="0" w:color="auto"/>
        <w:bottom w:val="none" w:sz="0" w:space="0" w:color="auto"/>
        <w:right w:val="none" w:sz="0" w:space="0" w:color="auto"/>
      </w:divBdr>
      <w:divsChild>
        <w:div w:id="202986846">
          <w:marLeft w:val="0"/>
          <w:marRight w:val="0"/>
          <w:marTop w:val="0"/>
          <w:marBottom w:val="0"/>
          <w:divBdr>
            <w:top w:val="none" w:sz="0" w:space="0" w:color="auto"/>
            <w:left w:val="none" w:sz="0" w:space="0" w:color="auto"/>
            <w:bottom w:val="none" w:sz="0" w:space="0" w:color="auto"/>
            <w:right w:val="none" w:sz="0" w:space="0" w:color="auto"/>
          </w:divBdr>
        </w:div>
        <w:div w:id="971440695">
          <w:marLeft w:val="0"/>
          <w:marRight w:val="0"/>
          <w:marTop w:val="0"/>
          <w:marBottom w:val="0"/>
          <w:divBdr>
            <w:top w:val="none" w:sz="0" w:space="0" w:color="auto"/>
            <w:left w:val="none" w:sz="0" w:space="0" w:color="auto"/>
            <w:bottom w:val="none" w:sz="0" w:space="0" w:color="auto"/>
            <w:right w:val="none" w:sz="0" w:space="0" w:color="auto"/>
          </w:divBdr>
        </w:div>
        <w:div w:id="1826120262">
          <w:marLeft w:val="0"/>
          <w:marRight w:val="0"/>
          <w:marTop w:val="0"/>
          <w:marBottom w:val="0"/>
          <w:divBdr>
            <w:top w:val="none" w:sz="0" w:space="0" w:color="auto"/>
            <w:left w:val="none" w:sz="0" w:space="0" w:color="auto"/>
            <w:bottom w:val="none" w:sz="0" w:space="0" w:color="auto"/>
            <w:right w:val="none" w:sz="0" w:space="0" w:color="auto"/>
          </w:divBdr>
        </w:div>
        <w:div w:id="297225515">
          <w:marLeft w:val="0"/>
          <w:marRight w:val="0"/>
          <w:marTop w:val="0"/>
          <w:marBottom w:val="0"/>
          <w:divBdr>
            <w:top w:val="none" w:sz="0" w:space="0" w:color="auto"/>
            <w:left w:val="none" w:sz="0" w:space="0" w:color="auto"/>
            <w:bottom w:val="none" w:sz="0" w:space="0" w:color="auto"/>
            <w:right w:val="none" w:sz="0" w:space="0" w:color="auto"/>
          </w:divBdr>
        </w:div>
      </w:divsChild>
    </w:div>
    <w:div w:id="214660704">
      <w:bodyDiv w:val="1"/>
      <w:marLeft w:val="0"/>
      <w:marRight w:val="0"/>
      <w:marTop w:val="0"/>
      <w:marBottom w:val="0"/>
      <w:divBdr>
        <w:top w:val="none" w:sz="0" w:space="0" w:color="auto"/>
        <w:left w:val="none" w:sz="0" w:space="0" w:color="auto"/>
        <w:bottom w:val="none" w:sz="0" w:space="0" w:color="auto"/>
        <w:right w:val="none" w:sz="0" w:space="0" w:color="auto"/>
      </w:divBdr>
      <w:divsChild>
        <w:div w:id="130445453">
          <w:marLeft w:val="0"/>
          <w:marRight w:val="0"/>
          <w:marTop w:val="0"/>
          <w:marBottom w:val="0"/>
          <w:divBdr>
            <w:top w:val="none" w:sz="0" w:space="0" w:color="auto"/>
            <w:left w:val="none" w:sz="0" w:space="0" w:color="auto"/>
            <w:bottom w:val="none" w:sz="0" w:space="0" w:color="auto"/>
            <w:right w:val="none" w:sz="0" w:space="0" w:color="auto"/>
          </w:divBdr>
        </w:div>
      </w:divsChild>
    </w:div>
    <w:div w:id="373969879">
      <w:bodyDiv w:val="1"/>
      <w:marLeft w:val="0"/>
      <w:marRight w:val="0"/>
      <w:marTop w:val="0"/>
      <w:marBottom w:val="0"/>
      <w:divBdr>
        <w:top w:val="none" w:sz="0" w:space="0" w:color="auto"/>
        <w:left w:val="none" w:sz="0" w:space="0" w:color="auto"/>
        <w:bottom w:val="none" w:sz="0" w:space="0" w:color="auto"/>
        <w:right w:val="none" w:sz="0" w:space="0" w:color="auto"/>
      </w:divBdr>
      <w:divsChild>
        <w:div w:id="498891923">
          <w:marLeft w:val="0"/>
          <w:marRight w:val="0"/>
          <w:marTop w:val="0"/>
          <w:marBottom w:val="0"/>
          <w:divBdr>
            <w:top w:val="none" w:sz="0" w:space="0" w:color="auto"/>
            <w:left w:val="none" w:sz="0" w:space="0" w:color="auto"/>
            <w:bottom w:val="none" w:sz="0" w:space="0" w:color="auto"/>
            <w:right w:val="none" w:sz="0" w:space="0" w:color="auto"/>
          </w:divBdr>
        </w:div>
        <w:div w:id="504365918">
          <w:marLeft w:val="0"/>
          <w:marRight w:val="0"/>
          <w:marTop w:val="0"/>
          <w:marBottom w:val="0"/>
          <w:divBdr>
            <w:top w:val="none" w:sz="0" w:space="0" w:color="auto"/>
            <w:left w:val="none" w:sz="0" w:space="0" w:color="auto"/>
            <w:bottom w:val="none" w:sz="0" w:space="0" w:color="auto"/>
            <w:right w:val="none" w:sz="0" w:space="0" w:color="auto"/>
          </w:divBdr>
        </w:div>
        <w:div w:id="1658682612">
          <w:marLeft w:val="0"/>
          <w:marRight w:val="0"/>
          <w:marTop w:val="0"/>
          <w:marBottom w:val="0"/>
          <w:divBdr>
            <w:top w:val="none" w:sz="0" w:space="0" w:color="auto"/>
            <w:left w:val="none" w:sz="0" w:space="0" w:color="auto"/>
            <w:bottom w:val="none" w:sz="0" w:space="0" w:color="auto"/>
            <w:right w:val="none" w:sz="0" w:space="0" w:color="auto"/>
          </w:divBdr>
        </w:div>
        <w:div w:id="28845594">
          <w:marLeft w:val="0"/>
          <w:marRight w:val="0"/>
          <w:marTop w:val="0"/>
          <w:marBottom w:val="0"/>
          <w:divBdr>
            <w:top w:val="none" w:sz="0" w:space="0" w:color="auto"/>
            <w:left w:val="none" w:sz="0" w:space="0" w:color="auto"/>
            <w:bottom w:val="none" w:sz="0" w:space="0" w:color="auto"/>
            <w:right w:val="none" w:sz="0" w:space="0" w:color="auto"/>
          </w:divBdr>
        </w:div>
        <w:div w:id="504126851">
          <w:marLeft w:val="0"/>
          <w:marRight w:val="0"/>
          <w:marTop w:val="0"/>
          <w:marBottom w:val="0"/>
          <w:divBdr>
            <w:top w:val="none" w:sz="0" w:space="0" w:color="auto"/>
            <w:left w:val="none" w:sz="0" w:space="0" w:color="auto"/>
            <w:bottom w:val="none" w:sz="0" w:space="0" w:color="auto"/>
            <w:right w:val="none" w:sz="0" w:space="0" w:color="auto"/>
          </w:divBdr>
        </w:div>
      </w:divsChild>
    </w:div>
    <w:div w:id="517622109">
      <w:bodyDiv w:val="1"/>
      <w:marLeft w:val="0"/>
      <w:marRight w:val="0"/>
      <w:marTop w:val="0"/>
      <w:marBottom w:val="0"/>
      <w:divBdr>
        <w:top w:val="none" w:sz="0" w:space="0" w:color="auto"/>
        <w:left w:val="none" w:sz="0" w:space="0" w:color="auto"/>
        <w:bottom w:val="none" w:sz="0" w:space="0" w:color="auto"/>
        <w:right w:val="none" w:sz="0" w:space="0" w:color="auto"/>
      </w:divBdr>
      <w:divsChild>
        <w:div w:id="1261910959">
          <w:marLeft w:val="0"/>
          <w:marRight w:val="0"/>
          <w:marTop w:val="0"/>
          <w:marBottom w:val="0"/>
          <w:divBdr>
            <w:top w:val="none" w:sz="0" w:space="0" w:color="auto"/>
            <w:left w:val="none" w:sz="0" w:space="0" w:color="auto"/>
            <w:bottom w:val="none" w:sz="0" w:space="0" w:color="auto"/>
            <w:right w:val="none" w:sz="0" w:space="0" w:color="auto"/>
          </w:divBdr>
        </w:div>
        <w:div w:id="436171022">
          <w:marLeft w:val="0"/>
          <w:marRight w:val="0"/>
          <w:marTop w:val="0"/>
          <w:marBottom w:val="0"/>
          <w:divBdr>
            <w:top w:val="none" w:sz="0" w:space="0" w:color="auto"/>
            <w:left w:val="none" w:sz="0" w:space="0" w:color="auto"/>
            <w:bottom w:val="none" w:sz="0" w:space="0" w:color="auto"/>
            <w:right w:val="none" w:sz="0" w:space="0" w:color="auto"/>
          </w:divBdr>
        </w:div>
        <w:div w:id="802842704">
          <w:marLeft w:val="0"/>
          <w:marRight w:val="0"/>
          <w:marTop w:val="0"/>
          <w:marBottom w:val="0"/>
          <w:divBdr>
            <w:top w:val="none" w:sz="0" w:space="0" w:color="auto"/>
            <w:left w:val="none" w:sz="0" w:space="0" w:color="auto"/>
            <w:bottom w:val="none" w:sz="0" w:space="0" w:color="auto"/>
            <w:right w:val="none" w:sz="0" w:space="0" w:color="auto"/>
          </w:divBdr>
        </w:div>
        <w:div w:id="716394861">
          <w:marLeft w:val="0"/>
          <w:marRight w:val="0"/>
          <w:marTop w:val="0"/>
          <w:marBottom w:val="0"/>
          <w:divBdr>
            <w:top w:val="none" w:sz="0" w:space="0" w:color="auto"/>
            <w:left w:val="none" w:sz="0" w:space="0" w:color="auto"/>
            <w:bottom w:val="none" w:sz="0" w:space="0" w:color="auto"/>
            <w:right w:val="none" w:sz="0" w:space="0" w:color="auto"/>
          </w:divBdr>
        </w:div>
        <w:div w:id="183598901">
          <w:marLeft w:val="0"/>
          <w:marRight w:val="0"/>
          <w:marTop w:val="0"/>
          <w:marBottom w:val="0"/>
          <w:divBdr>
            <w:top w:val="none" w:sz="0" w:space="0" w:color="auto"/>
            <w:left w:val="none" w:sz="0" w:space="0" w:color="auto"/>
            <w:bottom w:val="none" w:sz="0" w:space="0" w:color="auto"/>
            <w:right w:val="none" w:sz="0" w:space="0" w:color="auto"/>
          </w:divBdr>
        </w:div>
        <w:div w:id="616915984">
          <w:marLeft w:val="0"/>
          <w:marRight w:val="0"/>
          <w:marTop w:val="0"/>
          <w:marBottom w:val="0"/>
          <w:divBdr>
            <w:top w:val="none" w:sz="0" w:space="0" w:color="auto"/>
            <w:left w:val="none" w:sz="0" w:space="0" w:color="auto"/>
            <w:bottom w:val="none" w:sz="0" w:space="0" w:color="auto"/>
            <w:right w:val="none" w:sz="0" w:space="0" w:color="auto"/>
          </w:divBdr>
        </w:div>
        <w:div w:id="1147011181">
          <w:marLeft w:val="0"/>
          <w:marRight w:val="0"/>
          <w:marTop w:val="0"/>
          <w:marBottom w:val="0"/>
          <w:divBdr>
            <w:top w:val="none" w:sz="0" w:space="0" w:color="auto"/>
            <w:left w:val="none" w:sz="0" w:space="0" w:color="auto"/>
            <w:bottom w:val="none" w:sz="0" w:space="0" w:color="auto"/>
            <w:right w:val="none" w:sz="0" w:space="0" w:color="auto"/>
          </w:divBdr>
        </w:div>
        <w:div w:id="175656817">
          <w:marLeft w:val="0"/>
          <w:marRight w:val="0"/>
          <w:marTop w:val="0"/>
          <w:marBottom w:val="0"/>
          <w:divBdr>
            <w:top w:val="none" w:sz="0" w:space="0" w:color="auto"/>
            <w:left w:val="none" w:sz="0" w:space="0" w:color="auto"/>
            <w:bottom w:val="none" w:sz="0" w:space="0" w:color="auto"/>
            <w:right w:val="none" w:sz="0" w:space="0" w:color="auto"/>
          </w:divBdr>
        </w:div>
        <w:div w:id="706489814">
          <w:marLeft w:val="0"/>
          <w:marRight w:val="0"/>
          <w:marTop w:val="0"/>
          <w:marBottom w:val="0"/>
          <w:divBdr>
            <w:top w:val="none" w:sz="0" w:space="0" w:color="auto"/>
            <w:left w:val="none" w:sz="0" w:space="0" w:color="auto"/>
            <w:bottom w:val="none" w:sz="0" w:space="0" w:color="auto"/>
            <w:right w:val="none" w:sz="0" w:space="0" w:color="auto"/>
          </w:divBdr>
        </w:div>
        <w:div w:id="1690571243">
          <w:marLeft w:val="0"/>
          <w:marRight w:val="0"/>
          <w:marTop w:val="0"/>
          <w:marBottom w:val="0"/>
          <w:divBdr>
            <w:top w:val="none" w:sz="0" w:space="0" w:color="auto"/>
            <w:left w:val="none" w:sz="0" w:space="0" w:color="auto"/>
            <w:bottom w:val="none" w:sz="0" w:space="0" w:color="auto"/>
            <w:right w:val="none" w:sz="0" w:space="0" w:color="auto"/>
          </w:divBdr>
        </w:div>
        <w:div w:id="1074159693">
          <w:marLeft w:val="0"/>
          <w:marRight w:val="0"/>
          <w:marTop w:val="0"/>
          <w:marBottom w:val="0"/>
          <w:divBdr>
            <w:top w:val="none" w:sz="0" w:space="0" w:color="auto"/>
            <w:left w:val="none" w:sz="0" w:space="0" w:color="auto"/>
            <w:bottom w:val="none" w:sz="0" w:space="0" w:color="auto"/>
            <w:right w:val="none" w:sz="0" w:space="0" w:color="auto"/>
          </w:divBdr>
        </w:div>
      </w:divsChild>
    </w:div>
    <w:div w:id="656494722">
      <w:bodyDiv w:val="1"/>
      <w:marLeft w:val="0"/>
      <w:marRight w:val="0"/>
      <w:marTop w:val="0"/>
      <w:marBottom w:val="0"/>
      <w:divBdr>
        <w:top w:val="none" w:sz="0" w:space="0" w:color="auto"/>
        <w:left w:val="none" w:sz="0" w:space="0" w:color="auto"/>
        <w:bottom w:val="none" w:sz="0" w:space="0" w:color="auto"/>
        <w:right w:val="none" w:sz="0" w:space="0" w:color="auto"/>
      </w:divBdr>
    </w:div>
    <w:div w:id="703411353">
      <w:bodyDiv w:val="1"/>
      <w:marLeft w:val="0"/>
      <w:marRight w:val="0"/>
      <w:marTop w:val="0"/>
      <w:marBottom w:val="0"/>
      <w:divBdr>
        <w:top w:val="none" w:sz="0" w:space="0" w:color="auto"/>
        <w:left w:val="none" w:sz="0" w:space="0" w:color="auto"/>
        <w:bottom w:val="none" w:sz="0" w:space="0" w:color="auto"/>
        <w:right w:val="none" w:sz="0" w:space="0" w:color="auto"/>
      </w:divBdr>
      <w:divsChild>
        <w:div w:id="703553262">
          <w:marLeft w:val="0"/>
          <w:marRight w:val="0"/>
          <w:marTop w:val="0"/>
          <w:marBottom w:val="0"/>
          <w:divBdr>
            <w:top w:val="none" w:sz="0" w:space="0" w:color="auto"/>
            <w:left w:val="none" w:sz="0" w:space="0" w:color="auto"/>
            <w:bottom w:val="none" w:sz="0" w:space="0" w:color="auto"/>
            <w:right w:val="none" w:sz="0" w:space="0" w:color="auto"/>
          </w:divBdr>
        </w:div>
        <w:div w:id="1634674288">
          <w:marLeft w:val="0"/>
          <w:marRight w:val="0"/>
          <w:marTop w:val="0"/>
          <w:marBottom w:val="0"/>
          <w:divBdr>
            <w:top w:val="none" w:sz="0" w:space="0" w:color="auto"/>
            <w:left w:val="none" w:sz="0" w:space="0" w:color="auto"/>
            <w:bottom w:val="none" w:sz="0" w:space="0" w:color="auto"/>
            <w:right w:val="none" w:sz="0" w:space="0" w:color="auto"/>
          </w:divBdr>
        </w:div>
        <w:div w:id="2026663995">
          <w:marLeft w:val="0"/>
          <w:marRight w:val="0"/>
          <w:marTop w:val="0"/>
          <w:marBottom w:val="0"/>
          <w:divBdr>
            <w:top w:val="none" w:sz="0" w:space="0" w:color="auto"/>
            <w:left w:val="none" w:sz="0" w:space="0" w:color="auto"/>
            <w:bottom w:val="none" w:sz="0" w:space="0" w:color="auto"/>
            <w:right w:val="none" w:sz="0" w:space="0" w:color="auto"/>
          </w:divBdr>
        </w:div>
        <w:div w:id="289939769">
          <w:marLeft w:val="0"/>
          <w:marRight w:val="0"/>
          <w:marTop w:val="0"/>
          <w:marBottom w:val="0"/>
          <w:divBdr>
            <w:top w:val="none" w:sz="0" w:space="0" w:color="auto"/>
            <w:left w:val="none" w:sz="0" w:space="0" w:color="auto"/>
            <w:bottom w:val="none" w:sz="0" w:space="0" w:color="auto"/>
            <w:right w:val="none" w:sz="0" w:space="0" w:color="auto"/>
          </w:divBdr>
        </w:div>
        <w:div w:id="1059939967">
          <w:marLeft w:val="0"/>
          <w:marRight w:val="0"/>
          <w:marTop w:val="0"/>
          <w:marBottom w:val="0"/>
          <w:divBdr>
            <w:top w:val="none" w:sz="0" w:space="0" w:color="auto"/>
            <w:left w:val="none" w:sz="0" w:space="0" w:color="auto"/>
            <w:bottom w:val="none" w:sz="0" w:space="0" w:color="auto"/>
            <w:right w:val="none" w:sz="0" w:space="0" w:color="auto"/>
          </w:divBdr>
        </w:div>
      </w:divsChild>
    </w:div>
    <w:div w:id="806162866">
      <w:bodyDiv w:val="1"/>
      <w:marLeft w:val="0"/>
      <w:marRight w:val="0"/>
      <w:marTop w:val="0"/>
      <w:marBottom w:val="0"/>
      <w:divBdr>
        <w:top w:val="none" w:sz="0" w:space="0" w:color="auto"/>
        <w:left w:val="none" w:sz="0" w:space="0" w:color="auto"/>
        <w:bottom w:val="none" w:sz="0" w:space="0" w:color="auto"/>
        <w:right w:val="none" w:sz="0" w:space="0" w:color="auto"/>
      </w:divBdr>
      <w:divsChild>
        <w:div w:id="179783824">
          <w:marLeft w:val="0"/>
          <w:marRight w:val="0"/>
          <w:marTop w:val="0"/>
          <w:marBottom w:val="0"/>
          <w:divBdr>
            <w:top w:val="none" w:sz="0" w:space="0" w:color="auto"/>
            <w:left w:val="none" w:sz="0" w:space="0" w:color="auto"/>
            <w:bottom w:val="none" w:sz="0" w:space="0" w:color="auto"/>
            <w:right w:val="none" w:sz="0" w:space="0" w:color="auto"/>
          </w:divBdr>
        </w:div>
        <w:div w:id="502745918">
          <w:marLeft w:val="0"/>
          <w:marRight w:val="0"/>
          <w:marTop w:val="0"/>
          <w:marBottom w:val="0"/>
          <w:divBdr>
            <w:top w:val="none" w:sz="0" w:space="0" w:color="auto"/>
            <w:left w:val="none" w:sz="0" w:space="0" w:color="auto"/>
            <w:bottom w:val="none" w:sz="0" w:space="0" w:color="auto"/>
            <w:right w:val="none" w:sz="0" w:space="0" w:color="auto"/>
          </w:divBdr>
        </w:div>
        <w:div w:id="1276134396">
          <w:marLeft w:val="0"/>
          <w:marRight w:val="0"/>
          <w:marTop w:val="0"/>
          <w:marBottom w:val="0"/>
          <w:divBdr>
            <w:top w:val="none" w:sz="0" w:space="0" w:color="auto"/>
            <w:left w:val="none" w:sz="0" w:space="0" w:color="auto"/>
            <w:bottom w:val="none" w:sz="0" w:space="0" w:color="auto"/>
            <w:right w:val="none" w:sz="0" w:space="0" w:color="auto"/>
          </w:divBdr>
        </w:div>
      </w:divsChild>
    </w:div>
    <w:div w:id="916867034">
      <w:bodyDiv w:val="1"/>
      <w:marLeft w:val="0"/>
      <w:marRight w:val="0"/>
      <w:marTop w:val="0"/>
      <w:marBottom w:val="0"/>
      <w:divBdr>
        <w:top w:val="none" w:sz="0" w:space="0" w:color="auto"/>
        <w:left w:val="none" w:sz="0" w:space="0" w:color="auto"/>
        <w:bottom w:val="none" w:sz="0" w:space="0" w:color="auto"/>
        <w:right w:val="none" w:sz="0" w:space="0" w:color="auto"/>
      </w:divBdr>
      <w:divsChild>
        <w:div w:id="520511653">
          <w:marLeft w:val="0"/>
          <w:marRight w:val="0"/>
          <w:marTop w:val="0"/>
          <w:marBottom w:val="0"/>
          <w:divBdr>
            <w:top w:val="none" w:sz="0" w:space="0" w:color="auto"/>
            <w:left w:val="none" w:sz="0" w:space="0" w:color="auto"/>
            <w:bottom w:val="none" w:sz="0" w:space="0" w:color="auto"/>
            <w:right w:val="none" w:sz="0" w:space="0" w:color="auto"/>
          </w:divBdr>
        </w:div>
        <w:div w:id="1863085531">
          <w:marLeft w:val="0"/>
          <w:marRight w:val="0"/>
          <w:marTop w:val="0"/>
          <w:marBottom w:val="0"/>
          <w:divBdr>
            <w:top w:val="none" w:sz="0" w:space="0" w:color="auto"/>
            <w:left w:val="none" w:sz="0" w:space="0" w:color="auto"/>
            <w:bottom w:val="none" w:sz="0" w:space="0" w:color="auto"/>
            <w:right w:val="none" w:sz="0" w:space="0" w:color="auto"/>
          </w:divBdr>
        </w:div>
        <w:div w:id="411196751">
          <w:marLeft w:val="0"/>
          <w:marRight w:val="0"/>
          <w:marTop w:val="0"/>
          <w:marBottom w:val="0"/>
          <w:divBdr>
            <w:top w:val="none" w:sz="0" w:space="0" w:color="auto"/>
            <w:left w:val="none" w:sz="0" w:space="0" w:color="auto"/>
            <w:bottom w:val="none" w:sz="0" w:space="0" w:color="auto"/>
            <w:right w:val="none" w:sz="0" w:space="0" w:color="auto"/>
          </w:divBdr>
        </w:div>
        <w:div w:id="1230535573">
          <w:marLeft w:val="0"/>
          <w:marRight w:val="0"/>
          <w:marTop w:val="0"/>
          <w:marBottom w:val="0"/>
          <w:divBdr>
            <w:top w:val="none" w:sz="0" w:space="0" w:color="auto"/>
            <w:left w:val="none" w:sz="0" w:space="0" w:color="auto"/>
            <w:bottom w:val="none" w:sz="0" w:space="0" w:color="auto"/>
            <w:right w:val="none" w:sz="0" w:space="0" w:color="auto"/>
          </w:divBdr>
        </w:div>
      </w:divsChild>
    </w:div>
    <w:div w:id="1064108506">
      <w:bodyDiv w:val="1"/>
      <w:marLeft w:val="0"/>
      <w:marRight w:val="0"/>
      <w:marTop w:val="0"/>
      <w:marBottom w:val="0"/>
      <w:divBdr>
        <w:top w:val="none" w:sz="0" w:space="0" w:color="auto"/>
        <w:left w:val="none" w:sz="0" w:space="0" w:color="auto"/>
        <w:bottom w:val="none" w:sz="0" w:space="0" w:color="auto"/>
        <w:right w:val="none" w:sz="0" w:space="0" w:color="auto"/>
      </w:divBdr>
    </w:div>
    <w:div w:id="1230313485">
      <w:bodyDiv w:val="1"/>
      <w:marLeft w:val="0"/>
      <w:marRight w:val="0"/>
      <w:marTop w:val="0"/>
      <w:marBottom w:val="0"/>
      <w:divBdr>
        <w:top w:val="none" w:sz="0" w:space="0" w:color="auto"/>
        <w:left w:val="none" w:sz="0" w:space="0" w:color="auto"/>
        <w:bottom w:val="none" w:sz="0" w:space="0" w:color="auto"/>
        <w:right w:val="none" w:sz="0" w:space="0" w:color="auto"/>
      </w:divBdr>
      <w:divsChild>
        <w:div w:id="909460323">
          <w:marLeft w:val="0"/>
          <w:marRight w:val="0"/>
          <w:marTop w:val="0"/>
          <w:marBottom w:val="0"/>
          <w:divBdr>
            <w:top w:val="none" w:sz="0" w:space="0" w:color="auto"/>
            <w:left w:val="none" w:sz="0" w:space="0" w:color="auto"/>
            <w:bottom w:val="none" w:sz="0" w:space="0" w:color="auto"/>
            <w:right w:val="none" w:sz="0" w:space="0" w:color="auto"/>
          </w:divBdr>
        </w:div>
        <w:div w:id="1669019658">
          <w:marLeft w:val="0"/>
          <w:marRight w:val="0"/>
          <w:marTop w:val="0"/>
          <w:marBottom w:val="0"/>
          <w:divBdr>
            <w:top w:val="none" w:sz="0" w:space="0" w:color="auto"/>
            <w:left w:val="none" w:sz="0" w:space="0" w:color="auto"/>
            <w:bottom w:val="none" w:sz="0" w:space="0" w:color="auto"/>
            <w:right w:val="none" w:sz="0" w:space="0" w:color="auto"/>
          </w:divBdr>
        </w:div>
        <w:div w:id="1636064104">
          <w:marLeft w:val="0"/>
          <w:marRight w:val="0"/>
          <w:marTop w:val="0"/>
          <w:marBottom w:val="0"/>
          <w:divBdr>
            <w:top w:val="none" w:sz="0" w:space="0" w:color="auto"/>
            <w:left w:val="none" w:sz="0" w:space="0" w:color="auto"/>
            <w:bottom w:val="none" w:sz="0" w:space="0" w:color="auto"/>
            <w:right w:val="none" w:sz="0" w:space="0" w:color="auto"/>
          </w:divBdr>
        </w:div>
        <w:div w:id="888414190">
          <w:marLeft w:val="0"/>
          <w:marRight w:val="0"/>
          <w:marTop w:val="0"/>
          <w:marBottom w:val="0"/>
          <w:divBdr>
            <w:top w:val="none" w:sz="0" w:space="0" w:color="auto"/>
            <w:left w:val="none" w:sz="0" w:space="0" w:color="auto"/>
            <w:bottom w:val="none" w:sz="0" w:space="0" w:color="auto"/>
            <w:right w:val="none" w:sz="0" w:space="0" w:color="auto"/>
          </w:divBdr>
        </w:div>
        <w:div w:id="2087263680">
          <w:marLeft w:val="0"/>
          <w:marRight w:val="0"/>
          <w:marTop w:val="0"/>
          <w:marBottom w:val="0"/>
          <w:divBdr>
            <w:top w:val="none" w:sz="0" w:space="0" w:color="auto"/>
            <w:left w:val="none" w:sz="0" w:space="0" w:color="auto"/>
            <w:bottom w:val="none" w:sz="0" w:space="0" w:color="auto"/>
            <w:right w:val="none" w:sz="0" w:space="0" w:color="auto"/>
          </w:divBdr>
        </w:div>
        <w:div w:id="228462417">
          <w:marLeft w:val="0"/>
          <w:marRight w:val="0"/>
          <w:marTop w:val="0"/>
          <w:marBottom w:val="0"/>
          <w:divBdr>
            <w:top w:val="none" w:sz="0" w:space="0" w:color="auto"/>
            <w:left w:val="none" w:sz="0" w:space="0" w:color="auto"/>
            <w:bottom w:val="none" w:sz="0" w:space="0" w:color="auto"/>
            <w:right w:val="none" w:sz="0" w:space="0" w:color="auto"/>
          </w:divBdr>
        </w:div>
        <w:div w:id="1568105247">
          <w:marLeft w:val="0"/>
          <w:marRight w:val="0"/>
          <w:marTop w:val="0"/>
          <w:marBottom w:val="0"/>
          <w:divBdr>
            <w:top w:val="none" w:sz="0" w:space="0" w:color="auto"/>
            <w:left w:val="none" w:sz="0" w:space="0" w:color="auto"/>
            <w:bottom w:val="none" w:sz="0" w:space="0" w:color="auto"/>
            <w:right w:val="none" w:sz="0" w:space="0" w:color="auto"/>
          </w:divBdr>
        </w:div>
      </w:divsChild>
    </w:div>
    <w:div w:id="1244798460">
      <w:bodyDiv w:val="1"/>
      <w:marLeft w:val="0"/>
      <w:marRight w:val="0"/>
      <w:marTop w:val="0"/>
      <w:marBottom w:val="0"/>
      <w:divBdr>
        <w:top w:val="none" w:sz="0" w:space="0" w:color="auto"/>
        <w:left w:val="none" w:sz="0" w:space="0" w:color="auto"/>
        <w:bottom w:val="none" w:sz="0" w:space="0" w:color="auto"/>
        <w:right w:val="none" w:sz="0" w:space="0" w:color="auto"/>
      </w:divBdr>
    </w:div>
    <w:div w:id="1293364467">
      <w:bodyDiv w:val="1"/>
      <w:marLeft w:val="0"/>
      <w:marRight w:val="0"/>
      <w:marTop w:val="0"/>
      <w:marBottom w:val="0"/>
      <w:divBdr>
        <w:top w:val="none" w:sz="0" w:space="0" w:color="auto"/>
        <w:left w:val="none" w:sz="0" w:space="0" w:color="auto"/>
        <w:bottom w:val="none" w:sz="0" w:space="0" w:color="auto"/>
        <w:right w:val="none" w:sz="0" w:space="0" w:color="auto"/>
      </w:divBdr>
      <w:divsChild>
        <w:div w:id="871848383">
          <w:marLeft w:val="0"/>
          <w:marRight w:val="0"/>
          <w:marTop w:val="0"/>
          <w:marBottom w:val="0"/>
          <w:divBdr>
            <w:top w:val="none" w:sz="0" w:space="0" w:color="auto"/>
            <w:left w:val="none" w:sz="0" w:space="0" w:color="auto"/>
            <w:bottom w:val="none" w:sz="0" w:space="0" w:color="auto"/>
            <w:right w:val="none" w:sz="0" w:space="0" w:color="auto"/>
          </w:divBdr>
        </w:div>
        <w:div w:id="1733692366">
          <w:marLeft w:val="0"/>
          <w:marRight w:val="0"/>
          <w:marTop w:val="0"/>
          <w:marBottom w:val="0"/>
          <w:divBdr>
            <w:top w:val="none" w:sz="0" w:space="0" w:color="auto"/>
            <w:left w:val="none" w:sz="0" w:space="0" w:color="auto"/>
            <w:bottom w:val="none" w:sz="0" w:space="0" w:color="auto"/>
            <w:right w:val="none" w:sz="0" w:space="0" w:color="auto"/>
          </w:divBdr>
        </w:div>
        <w:div w:id="1620913247">
          <w:marLeft w:val="0"/>
          <w:marRight w:val="0"/>
          <w:marTop w:val="0"/>
          <w:marBottom w:val="0"/>
          <w:divBdr>
            <w:top w:val="none" w:sz="0" w:space="0" w:color="auto"/>
            <w:left w:val="none" w:sz="0" w:space="0" w:color="auto"/>
            <w:bottom w:val="none" w:sz="0" w:space="0" w:color="auto"/>
            <w:right w:val="none" w:sz="0" w:space="0" w:color="auto"/>
          </w:divBdr>
        </w:div>
      </w:divsChild>
    </w:div>
    <w:div w:id="1304656418">
      <w:bodyDiv w:val="1"/>
      <w:marLeft w:val="0"/>
      <w:marRight w:val="0"/>
      <w:marTop w:val="0"/>
      <w:marBottom w:val="0"/>
      <w:divBdr>
        <w:top w:val="none" w:sz="0" w:space="0" w:color="auto"/>
        <w:left w:val="none" w:sz="0" w:space="0" w:color="auto"/>
        <w:bottom w:val="none" w:sz="0" w:space="0" w:color="auto"/>
        <w:right w:val="none" w:sz="0" w:space="0" w:color="auto"/>
      </w:divBdr>
      <w:divsChild>
        <w:div w:id="1920747124">
          <w:marLeft w:val="0"/>
          <w:marRight w:val="0"/>
          <w:marTop w:val="0"/>
          <w:marBottom w:val="0"/>
          <w:divBdr>
            <w:top w:val="none" w:sz="0" w:space="0" w:color="auto"/>
            <w:left w:val="none" w:sz="0" w:space="0" w:color="auto"/>
            <w:bottom w:val="none" w:sz="0" w:space="0" w:color="auto"/>
            <w:right w:val="none" w:sz="0" w:space="0" w:color="auto"/>
          </w:divBdr>
        </w:div>
        <w:div w:id="351764138">
          <w:marLeft w:val="0"/>
          <w:marRight w:val="0"/>
          <w:marTop w:val="0"/>
          <w:marBottom w:val="0"/>
          <w:divBdr>
            <w:top w:val="none" w:sz="0" w:space="0" w:color="auto"/>
            <w:left w:val="none" w:sz="0" w:space="0" w:color="auto"/>
            <w:bottom w:val="none" w:sz="0" w:space="0" w:color="auto"/>
            <w:right w:val="none" w:sz="0" w:space="0" w:color="auto"/>
          </w:divBdr>
        </w:div>
        <w:div w:id="873690679">
          <w:marLeft w:val="0"/>
          <w:marRight w:val="0"/>
          <w:marTop w:val="0"/>
          <w:marBottom w:val="0"/>
          <w:divBdr>
            <w:top w:val="none" w:sz="0" w:space="0" w:color="auto"/>
            <w:left w:val="none" w:sz="0" w:space="0" w:color="auto"/>
            <w:bottom w:val="none" w:sz="0" w:space="0" w:color="auto"/>
            <w:right w:val="none" w:sz="0" w:space="0" w:color="auto"/>
          </w:divBdr>
        </w:div>
      </w:divsChild>
    </w:div>
    <w:div w:id="1465542783">
      <w:bodyDiv w:val="1"/>
      <w:marLeft w:val="0"/>
      <w:marRight w:val="0"/>
      <w:marTop w:val="0"/>
      <w:marBottom w:val="0"/>
      <w:divBdr>
        <w:top w:val="none" w:sz="0" w:space="0" w:color="auto"/>
        <w:left w:val="none" w:sz="0" w:space="0" w:color="auto"/>
        <w:bottom w:val="none" w:sz="0" w:space="0" w:color="auto"/>
        <w:right w:val="none" w:sz="0" w:space="0" w:color="auto"/>
      </w:divBdr>
    </w:div>
    <w:div w:id="1503087435">
      <w:bodyDiv w:val="1"/>
      <w:marLeft w:val="0"/>
      <w:marRight w:val="0"/>
      <w:marTop w:val="0"/>
      <w:marBottom w:val="0"/>
      <w:divBdr>
        <w:top w:val="none" w:sz="0" w:space="0" w:color="auto"/>
        <w:left w:val="none" w:sz="0" w:space="0" w:color="auto"/>
        <w:bottom w:val="none" w:sz="0" w:space="0" w:color="auto"/>
        <w:right w:val="none" w:sz="0" w:space="0" w:color="auto"/>
      </w:divBdr>
    </w:div>
    <w:div w:id="1790516249">
      <w:bodyDiv w:val="1"/>
      <w:marLeft w:val="0"/>
      <w:marRight w:val="0"/>
      <w:marTop w:val="0"/>
      <w:marBottom w:val="0"/>
      <w:divBdr>
        <w:top w:val="none" w:sz="0" w:space="0" w:color="auto"/>
        <w:left w:val="none" w:sz="0" w:space="0" w:color="auto"/>
        <w:bottom w:val="none" w:sz="0" w:space="0" w:color="auto"/>
        <w:right w:val="none" w:sz="0" w:space="0" w:color="auto"/>
      </w:divBdr>
      <w:divsChild>
        <w:div w:id="1732921361">
          <w:marLeft w:val="0"/>
          <w:marRight w:val="0"/>
          <w:marTop w:val="0"/>
          <w:marBottom w:val="0"/>
          <w:divBdr>
            <w:top w:val="none" w:sz="0" w:space="0" w:color="auto"/>
            <w:left w:val="none" w:sz="0" w:space="0" w:color="auto"/>
            <w:bottom w:val="none" w:sz="0" w:space="0" w:color="auto"/>
            <w:right w:val="none" w:sz="0" w:space="0" w:color="auto"/>
          </w:divBdr>
        </w:div>
        <w:div w:id="1160998800">
          <w:marLeft w:val="0"/>
          <w:marRight w:val="0"/>
          <w:marTop w:val="0"/>
          <w:marBottom w:val="0"/>
          <w:divBdr>
            <w:top w:val="none" w:sz="0" w:space="0" w:color="auto"/>
            <w:left w:val="none" w:sz="0" w:space="0" w:color="auto"/>
            <w:bottom w:val="none" w:sz="0" w:space="0" w:color="auto"/>
            <w:right w:val="none" w:sz="0" w:space="0" w:color="auto"/>
          </w:divBdr>
        </w:div>
        <w:div w:id="1183786606">
          <w:marLeft w:val="0"/>
          <w:marRight w:val="0"/>
          <w:marTop w:val="0"/>
          <w:marBottom w:val="0"/>
          <w:divBdr>
            <w:top w:val="none" w:sz="0" w:space="0" w:color="auto"/>
            <w:left w:val="none" w:sz="0" w:space="0" w:color="auto"/>
            <w:bottom w:val="none" w:sz="0" w:space="0" w:color="auto"/>
            <w:right w:val="none" w:sz="0" w:space="0" w:color="auto"/>
          </w:divBdr>
        </w:div>
      </w:divsChild>
    </w:div>
    <w:div w:id="1863669845">
      <w:bodyDiv w:val="1"/>
      <w:marLeft w:val="0"/>
      <w:marRight w:val="0"/>
      <w:marTop w:val="0"/>
      <w:marBottom w:val="0"/>
      <w:divBdr>
        <w:top w:val="none" w:sz="0" w:space="0" w:color="auto"/>
        <w:left w:val="none" w:sz="0" w:space="0" w:color="auto"/>
        <w:bottom w:val="none" w:sz="0" w:space="0" w:color="auto"/>
        <w:right w:val="none" w:sz="0" w:space="0" w:color="auto"/>
      </w:divBdr>
    </w:div>
    <w:div w:id="2121142956">
      <w:bodyDiv w:val="1"/>
      <w:marLeft w:val="0"/>
      <w:marRight w:val="0"/>
      <w:marTop w:val="0"/>
      <w:marBottom w:val="0"/>
      <w:divBdr>
        <w:top w:val="none" w:sz="0" w:space="0" w:color="auto"/>
        <w:left w:val="none" w:sz="0" w:space="0" w:color="auto"/>
        <w:bottom w:val="none" w:sz="0" w:space="0" w:color="auto"/>
        <w:right w:val="none" w:sz="0" w:space="0" w:color="auto"/>
      </w:divBdr>
      <w:divsChild>
        <w:div w:id="1351100399">
          <w:marLeft w:val="0"/>
          <w:marRight w:val="0"/>
          <w:marTop w:val="0"/>
          <w:marBottom w:val="0"/>
          <w:divBdr>
            <w:top w:val="none" w:sz="0" w:space="0" w:color="auto"/>
            <w:left w:val="none" w:sz="0" w:space="0" w:color="auto"/>
            <w:bottom w:val="none" w:sz="0" w:space="0" w:color="auto"/>
            <w:right w:val="none" w:sz="0" w:space="0" w:color="auto"/>
          </w:divBdr>
        </w:div>
        <w:div w:id="50691965">
          <w:marLeft w:val="0"/>
          <w:marRight w:val="0"/>
          <w:marTop w:val="0"/>
          <w:marBottom w:val="0"/>
          <w:divBdr>
            <w:top w:val="none" w:sz="0" w:space="0" w:color="auto"/>
            <w:left w:val="none" w:sz="0" w:space="0" w:color="auto"/>
            <w:bottom w:val="none" w:sz="0" w:space="0" w:color="auto"/>
            <w:right w:val="none" w:sz="0" w:space="0" w:color="auto"/>
          </w:divBdr>
        </w:div>
        <w:div w:id="1599675231">
          <w:marLeft w:val="0"/>
          <w:marRight w:val="0"/>
          <w:marTop w:val="0"/>
          <w:marBottom w:val="0"/>
          <w:divBdr>
            <w:top w:val="none" w:sz="0" w:space="0" w:color="auto"/>
            <w:left w:val="none" w:sz="0" w:space="0" w:color="auto"/>
            <w:bottom w:val="none" w:sz="0" w:space="0" w:color="auto"/>
            <w:right w:val="none" w:sz="0" w:space="0" w:color="auto"/>
          </w:divBdr>
        </w:div>
        <w:div w:id="1593053184">
          <w:marLeft w:val="0"/>
          <w:marRight w:val="0"/>
          <w:marTop w:val="0"/>
          <w:marBottom w:val="0"/>
          <w:divBdr>
            <w:top w:val="none" w:sz="0" w:space="0" w:color="auto"/>
            <w:left w:val="none" w:sz="0" w:space="0" w:color="auto"/>
            <w:bottom w:val="none" w:sz="0" w:space="0" w:color="auto"/>
            <w:right w:val="none" w:sz="0" w:space="0" w:color="auto"/>
          </w:divBdr>
        </w:div>
        <w:div w:id="439953855">
          <w:marLeft w:val="0"/>
          <w:marRight w:val="0"/>
          <w:marTop w:val="0"/>
          <w:marBottom w:val="0"/>
          <w:divBdr>
            <w:top w:val="none" w:sz="0" w:space="0" w:color="auto"/>
            <w:left w:val="none" w:sz="0" w:space="0" w:color="auto"/>
            <w:bottom w:val="none" w:sz="0" w:space="0" w:color="auto"/>
            <w:right w:val="none" w:sz="0" w:space="0" w:color="auto"/>
          </w:divBdr>
        </w:div>
        <w:div w:id="375810366">
          <w:marLeft w:val="0"/>
          <w:marRight w:val="0"/>
          <w:marTop w:val="0"/>
          <w:marBottom w:val="0"/>
          <w:divBdr>
            <w:top w:val="none" w:sz="0" w:space="0" w:color="auto"/>
            <w:left w:val="none" w:sz="0" w:space="0" w:color="auto"/>
            <w:bottom w:val="none" w:sz="0" w:space="0" w:color="auto"/>
            <w:right w:val="none" w:sz="0" w:space="0" w:color="auto"/>
          </w:divBdr>
        </w:div>
        <w:div w:id="1230967503">
          <w:marLeft w:val="0"/>
          <w:marRight w:val="0"/>
          <w:marTop w:val="0"/>
          <w:marBottom w:val="0"/>
          <w:divBdr>
            <w:top w:val="none" w:sz="0" w:space="0" w:color="auto"/>
            <w:left w:val="none" w:sz="0" w:space="0" w:color="auto"/>
            <w:bottom w:val="none" w:sz="0" w:space="0" w:color="auto"/>
            <w:right w:val="none" w:sz="0" w:space="0" w:color="auto"/>
          </w:divBdr>
        </w:div>
        <w:div w:id="2060590157">
          <w:marLeft w:val="0"/>
          <w:marRight w:val="0"/>
          <w:marTop w:val="0"/>
          <w:marBottom w:val="0"/>
          <w:divBdr>
            <w:top w:val="none" w:sz="0" w:space="0" w:color="auto"/>
            <w:left w:val="none" w:sz="0" w:space="0" w:color="auto"/>
            <w:bottom w:val="none" w:sz="0" w:space="0" w:color="auto"/>
            <w:right w:val="none" w:sz="0" w:space="0" w:color="auto"/>
          </w:divBdr>
        </w:div>
        <w:div w:id="1453087392">
          <w:marLeft w:val="0"/>
          <w:marRight w:val="0"/>
          <w:marTop w:val="0"/>
          <w:marBottom w:val="0"/>
          <w:divBdr>
            <w:top w:val="none" w:sz="0" w:space="0" w:color="auto"/>
            <w:left w:val="none" w:sz="0" w:space="0" w:color="auto"/>
            <w:bottom w:val="none" w:sz="0" w:space="0" w:color="auto"/>
            <w:right w:val="none" w:sz="0" w:space="0" w:color="auto"/>
          </w:divBdr>
        </w:div>
        <w:div w:id="1999848260">
          <w:marLeft w:val="0"/>
          <w:marRight w:val="0"/>
          <w:marTop w:val="0"/>
          <w:marBottom w:val="0"/>
          <w:divBdr>
            <w:top w:val="none" w:sz="0" w:space="0" w:color="auto"/>
            <w:left w:val="none" w:sz="0" w:space="0" w:color="auto"/>
            <w:bottom w:val="none" w:sz="0" w:space="0" w:color="auto"/>
            <w:right w:val="none" w:sz="0" w:space="0" w:color="auto"/>
          </w:divBdr>
        </w:div>
        <w:div w:id="1531607641">
          <w:marLeft w:val="0"/>
          <w:marRight w:val="0"/>
          <w:marTop w:val="0"/>
          <w:marBottom w:val="0"/>
          <w:divBdr>
            <w:top w:val="none" w:sz="0" w:space="0" w:color="auto"/>
            <w:left w:val="none" w:sz="0" w:space="0" w:color="auto"/>
            <w:bottom w:val="none" w:sz="0" w:space="0" w:color="auto"/>
            <w:right w:val="none" w:sz="0" w:space="0" w:color="auto"/>
          </w:divBdr>
        </w:div>
        <w:div w:id="1583250765">
          <w:marLeft w:val="0"/>
          <w:marRight w:val="0"/>
          <w:marTop w:val="0"/>
          <w:marBottom w:val="0"/>
          <w:divBdr>
            <w:top w:val="none" w:sz="0" w:space="0" w:color="auto"/>
            <w:left w:val="none" w:sz="0" w:space="0" w:color="auto"/>
            <w:bottom w:val="none" w:sz="0" w:space="0" w:color="auto"/>
            <w:right w:val="none" w:sz="0" w:space="0" w:color="auto"/>
          </w:divBdr>
        </w:div>
        <w:div w:id="2013219557">
          <w:marLeft w:val="0"/>
          <w:marRight w:val="0"/>
          <w:marTop w:val="0"/>
          <w:marBottom w:val="0"/>
          <w:divBdr>
            <w:top w:val="none" w:sz="0" w:space="0" w:color="auto"/>
            <w:left w:val="none" w:sz="0" w:space="0" w:color="auto"/>
            <w:bottom w:val="none" w:sz="0" w:space="0" w:color="auto"/>
            <w:right w:val="none" w:sz="0" w:space="0" w:color="auto"/>
          </w:divBdr>
        </w:div>
        <w:div w:id="1402169110">
          <w:marLeft w:val="0"/>
          <w:marRight w:val="0"/>
          <w:marTop w:val="0"/>
          <w:marBottom w:val="0"/>
          <w:divBdr>
            <w:top w:val="none" w:sz="0" w:space="0" w:color="auto"/>
            <w:left w:val="none" w:sz="0" w:space="0" w:color="auto"/>
            <w:bottom w:val="none" w:sz="0" w:space="0" w:color="auto"/>
            <w:right w:val="none" w:sz="0" w:space="0" w:color="auto"/>
          </w:divBdr>
        </w:div>
        <w:div w:id="293221688">
          <w:marLeft w:val="0"/>
          <w:marRight w:val="0"/>
          <w:marTop w:val="0"/>
          <w:marBottom w:val="0"/>
          <w:divBdr>
            <w:top w:val="none" w:sz="0" w:space="0" w:color="auto"/>
            <w:left w:val="none" w:sz="0" w:space="0" w:color="auto"/>
            <w:bottom w:val="none" w:sz="0" w:space="0" w:color="auto"/>
            <w:right w:val="none" w:sz="0" w:space="0" w:color="auto"/>
          </w:divBdr>
        </w:div>
        <w:div w:id="1843624451">
          <w:marLeft w:val="0"/>
          <w:marRight w:val="0"/>
          <w:marTop w:val="0"/>
          <w:marBottom w:val="0"/>
          <w:divBdr>
            <w:top w:val="none" w:sz="0" w:space="0" w:color="auto"/>
            <w:left w:val="none" w:sz="0" w:space="0" w:color="auto"/>
            <w:bottom w:val="none" w:sz="0" w:space="0" w:color="auto"/>
            <w:right w:val="none" w:sz="0" w:space="0" w:color="auto"/>
          </w:divBdr>
        </w:div>
        <w:div w:id="430857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21</Pages>
  <Words>1341</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Zhao</dc:creator>
  <cp:keywords/>
  <dc:description/>
  <cp:lastModifiedBy>Hao Zhao</cp:lastModifiedBy>
  <cp:revision>11</cp:revision>
  <dcterms:created xsi:type="dcterms:W3CDTF">2025-05-07T11:54:00Z</dcterms:created>
  <dcterms:modified xsi:type="dcterms:W3CDTF">2025-05-07T16:07:00Z</dcterms:modified>
</cp:coreProperties>
</file>