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是否所有的桥本氏甲状腺炎患者都需要筛查其他自身免疫病（如乳糜泻、1型糖尿病）？筛查标准是什么？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基于最新研究证据和临床指南，桥本氏甲状腺炎（HT）患者是否需要筛查其他自身免疫病需根据个体风险分层决定，而非所有患者均需常规筛查。以下是综合分析及筛查标准：</w:t>
      </w:r>
    </w:p>
    <w:p>
      <w:pPr>
        <w:spacing w:after="400" w:line="400" w:lineRule="atLeast"/>
      </w:pPr>
      <w:r>
        <w:rPr>
          <w:b/>
          <w:sz w:val="30"/>
        </w:rPr>
        <w:t>一、桥本氏甲状腺炎与其他自身免疫病的关联性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流行病学特征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总体风险</w:t>
      </w:r>
      <w:r>
        <w:t>：HT患者患其他自身免疫病的风险较普通人群高3-5倍，但并非必然共存[2][5][14]。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常见共存疾病</w:t>
      </w:r>
      <w:r>
        <w:t>：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疾病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在HT患者中患病率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风险增幅（vs.普通人群）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1型糖尿病（T1DM）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5-9%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3-5倍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乳糜泻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1-8%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2-4倍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艾迪生病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0.5-1%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5-8倍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系统性红斑狼疮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2-5%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3倍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数据来源：[10][13][14]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jc w:val="center"/>
        <w:rPr>
          <w:color w:val="7F7F7F" w:themeColor="text1" w:themeTint="80"/>
        </w:rPr>
      </w:pPr>
      <w:r>
        <w:drawing>
          <wp:inline distT="0" distB="0" distL="0" distR="0">
            <wp:extent cx="5274310" cy="2808339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共同机制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遗传基础</w:t>
      </w:r>
      <w:r>
        <w:t>：HLA-DQ2/DQ8等位基因是乳糜泻、T1DM和HT的共同易感基因[3][9]。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免疫交叉</w:t>
      </w:r>
      <w:r>
        <w:t>：甲状腺过氧化物酶（TPO）与组织转谷氨酰胺酶（tTG）的分子模拟机制可能驱动多器官自身免疫[3][12]。</w:t>
      </w:r>
    </w:p>
    <w:p>
      <w:pPr>
        <w:spacing w:after="400" w:line="400" w:lineRule="atLeast"/>
      </w:pPr>
      <w:r>
        <w:rPr>
          <w:b/>
          <w:sz w:val="30"/>
        </w:rPr>
        <w:t>二、筛查的必要性：分层管理策略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需强制筛查的高危人群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人群特征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推荐筛查疾病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依据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有临床症状者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所有相关自身免疫病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症状提示潜在共存疾病[8][12]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儿童/青少年HT患者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T1DM、乳糜泻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共存率更高，且影响发育[4][11]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一级亲属患乳糜泻/T1DM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乳糜泻、T1DM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遗传风险显著增加[6][9]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难以解释的HT症状</w:t>
            </w:r>
            <w:r>
              <w:t>（如持续乏力、腹泻）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乳糜泻、艾迪生病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可能被误诊为甲减[2][14]</w:t>
            </w:r>
          </w:p>
        </w:tc>
      </w:tr>
    </w:tbl>
    <w:p>
      <w:pPr>
        <w:spacing w:before="400"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无需常规筛查的低危人群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成人HT患者，无症状且无家族史</w:t>
      </w:r>
      <w:r>
        <w:t>：乳糜泻筛查阳性率仅0.5-1%，成本效益低[6][8]。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TPOAb阳性但甲状腺功能正常者</w:t>
      </w:r>
      <w:r>
        <w:t>：自身免疫活跃度不足[7][8]。</w:t>
      </w:r>
    </w:p>
    <w:p>
      <w:pPr>
        <w:spacing w:after="400" w:line="400" w:lineRule="atLeast"/>
      </w:pPr>
      <w:r>
        <w:rPr>
          <w:b/>
          <w:sz w:val="30"/>
        </w:rPr>
        <w:t>三、筛查标准与方案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筛查疾病优先级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疾病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推荐筛查人群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筛查工具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筛查频率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1型糖尿病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所有新诊HT患者（尤其儿童）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空腹血糖 + HbA1c + GAD抗体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确诊时，后每年1次[4][10]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乳糜泻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有胃肠道症状或家族史者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tTG-IgA + 总IgA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症状出现时或每2-3年[6][9]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艾迪生病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不明原因低血压/低钠血症者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晨起皮质醇 + ACTH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临床怀疑时[10][13]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其他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关节痛/皮疹等系统症状者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ANA + RF等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根据症状定向筛查[8]</w:t>
            </w:r>
          </w:p>
        </w:tc>
      </w:tr>
    </w:tbl>
    <w:p>
      <w:pPr>
        <w:spacing w:before="400"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关键筛查技术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乳糜泻</w:t>
      </w:r>
      <w:r>
        <w:t>：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首选</w:t>
      </w:r>
      <w:r>
        <w:t>：tTG-IgA抗体（敏感性＞95%）[9]。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注意</w:t>
      </w:r>
      <w:r>
        <w:t>：IgA缺乏者需检测IgG型抗体[9]。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1型糖尿病</w:t>
      </w:r>
      <w:r>
        <w:t>：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高危标志</w:t>
      </w:r>
      <w:r>
        <w:t xml:space="preserve">：GAD65抗体 + IA-2抗体[10][13]。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遗传风险</w:t>
      </w:r>
      <w:r>
        <w:t>：</w:t>
      </w:r>
    </w:p>
    <w:p>
      <w:pPr>
        <w:numPr>
          <w:ilvl w:val="-1"/>
          <w:numId w:val="11"/>
        </w:numPr>
        <w:spacing w:after="400" w:line="400" w:lineRule="atLeast"/>
      </w:pPr>
      <w:r>
        <w:t>HLA-DQ2/DQ8分型：阴性可排除乳糜泻（＞99%）[3][9]。</w:t>
      </w:r>
    </w:p>
    <w:p>
      <w:pPr>
        <w:spacing w:after="400" w:line="400" w:lineRule="atLeast"/>
      </w:pPr>
      <w:r>
        <w:rPr>
          <w:b/>
          <w:sz w:val="30"/>
        </w:rPr>
        <w:t>四、争议与临床实践建议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争议焦点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无症状筛查的利弊</w:t>
      </w:r>
      <w:r>
        <w:t>：</w:t>
      </w:r>
    </w:p>
    <w:p>
      <w:pPr>
        <w:numPr>
          <w:ilvl w:val="-1"/>
          <w:numId w:val="7"/>
        </w:numPr>
        <w:spacing w:after="400" w:line="400" w:lineRule="atLeast"/>
      </w:pPr>
      <w:r>
        <w:t>支持方：早期发现可预防并发症（如乳糜泻致骨质疏松）[12]。</w:t>
      </w:r>
    </w:p>
    <w:p>
      <w:pPr>
        <w:numPr>
          <w:ilvl w:val="-1"/>
          <w:numId w:val="7"/>
        </w:numPr>
        <w:spacing w:after="400" w:line="400" w:lineRule="atLeast"/>
      </w:pPr>
      <w:r>
        <w:t>反对方：假阳性率高，过度诊断导致不必要的活检（乳糜泻确诊需肠镜）[6][9]。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成本效益比</w:t>
      </w:r>
      <w:r>
        <w:t>：</w:t>
      </w:r>
    </w:p>
    <w:p>
      <w:pPr>
        <w:numPr>
          <w:ilvl w:val="-1"/>
          <w:numId w:val="7"/>
        </w:numPr>
        <w:spacing w:after="400" w:line="400" w:lineRule="atLeast"/>
      </w:pPr>
      <w:r>
        <w:t>筛查1例HT患者的乳糜泻需$150，预防1例并发症需筛查200人[6][9]。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权威机构推荐总结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4148"/>
        <w:gridCol w:w="4148"/>
      </w:tblGrid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机构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推荐意见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美国甲状腺协会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仅筛查有症状或高危HT患者（如T1DM家族史）[2][8]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欧洲儿科胃肠病学会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HLA-DQ2/DQ8阴性者无需乳糜泻筛查[9]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ADA（糖尿病协会）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所有T1DM患者确诊时筛查HT，反之HT患者仅筛查有糖尿病症状者[1][4]</w:t>
            </w:r>
          </w:p>
        </w:tc>
      </w:tr>
    </w:tbl>
    <w:p>
      <w:pPr>
        <w:spacing w:before="400" w:after="400" w:line="400" w:lineRule="atLeast"/>
      </w:pPr>
      <w:r>
        <w:rPr>
          <w:b/>
          <w:sz w:val="30"/>
        </w:rPr>
        <w:t>五、临床路径流程图</w:t>
      </w:r>
    </w:p>
    <w:p>
      <w:r>
        <w:t xml:space="preserve">graph TD
</w:t>
      </w:r>
    </w:p>
    <w:p>
      <w:r>
        <w:t xml:space="preserve">A[确诊桥本甲状腺炎] --&gt; B{是否有以下情况？}
</w:t>
      </w:r>
    </w:p>
    <w:p>
      <w:r>
        <w:t xml:space="preserve">B --&gt;|无症状+无家族史| C[无需常规筛查]
</w:t>
      </w:r>
    </w:p>
    <w:p>
      <w:r>
        <w:t xml:space="preserve">B --&gt;|有症状/儿童/家族史| D[定向筛查]
</w:t>
      </w:r>
    </w:p>
    <w:p>
      <w:r>
        <w:t xml:space="preserve">D --&gt; D1[胃肠症状 → 乳糜泻筛查 tTG-IgA]
</w:t>
      </w:r>
    </w:p>
    <w:p>
      <w:r>
        <w:t xml:space="preserve">D --&gt; D2[多饮/消瘦 → T1DM筛查 HbA1c+GAD]
</w:t>
      </w:r>
    </w:p>
    <w:p>
      <w:r>
        <w:t xml:space="preserve">D --&gt; D3[低血压/色素沉着 → 艾迪生病筛查皮质醇]
</w:t>
      </w:r>
    </w:p>
    <w:p>
      <w:r>
        <w:t xml:space="preserve">D --&gt; D4[关节痛/皮疹 → ANA/RF]
</w:t>
      </w:r>
    </w:p>
    <w:p>
      <w:pPr>
        <w:spacing w:after="400" w:line="400" w:lineRule="atLeast"/>
      </w:pPr>
      <w:r>
        <w:rPr>
          <w:b/>
          <w:sz w:val="30"/>
        </w:rPr>
        <w:t>六、前沿进展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预测模型</w:t>
      </w:r>
      <w:r>
        <w:t>：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多基因风险评分</w:t>
      </w:r>
      <w:r>
        <w:t>（PRS）：整合HLA与非HLA位点，预测HT患者进展为T1DM的风险（AUC=0.82）[3]。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微创筛查</w:t>
      </w:r>
      <w:r>
        <w:t>：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唾液抗体检测</w:t>
      </w:r>
      <w:r>
        <w:t>：替代血清tTG-IgA筛查乳糜泻（研究阶段）[9]。</w:t>
      </w:r>
    </w:p>
    <w:p>
      <w:pPr>
        <w:spacing w:after="400" w:line="400" w:lineRule="atLeast"/>
      </w:pPr>
      <w:r>
        <w:rPr>
          <w:b/>
          <w:sz w:val="30"/>
        </w:rPr>
        <w:t>结论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不推荐所有HT患者常规筛查</w:t>
      </w:r>
      <w:r>
        <w:t>：仅限高危人群（儿童、有症状者、家族史阳性）。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分层筛查标准</w:t>
      </w:r>
      <w:r>
        <w:t>：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强制筛查</w:t>
      </w:r>
      <w:r>
        <w:t>：儿童/青少年、胃肠道症状者、T1DM家族史。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选择筛查</w:t>
      </w:r>
      <w:r>
        <w:t>：成人无症状者需个体化评估。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筛查工具优先级</w:t>
      </w:r>
      <w:r>
        <w:t>：</w:t>
      </w:r>
    </w:p>
    <w:p>
      <w:pPr>
        <w:numPr>
          <w:ilvl w:val="0"/>
          <w:numId w:val="9"/>
        </w:numPr>
        <w:spacing w:after="400" w:line="400" w:lineRule="atLeast"/>
      </w:pPr>
      <w:r>
        <w:t xml:space="preserve">乳糜泻 → tTG-IgA；T1DM → HbA1c + GAD抗体；全身症状 → ANA。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临床警示</w:t>
      </w:r>
      <w:r>
        <w:rPr>
          <w:color w:val="7F7F7F" w:themeColor="text1" w:themeTint="80"/>
        </w:rPr>
        <w:t>：对筛查阳性但无症状者（如tTG-IgA+但肠镜正常），应避免过度治疗，监测替代观察[6][9]。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欧洲儿科胃肠病学、肝病学和营养学会发布肠病诊断指南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2012-01-01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欧洲儿科胃肠病学、肝病学和营养学会基于专家意见和系统文献搜索，发布了新的肠病（CD）诊断标准。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医学指南更新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肠病自体抗原的识别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肠病的自体抗原组织转谷氨酰胺酶被识别，改变了对肠病的认识。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医学研究进展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肠病特异性抗体测试的改进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2004至2009间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基于2004年国家卫生研究院/医疗保健研究与质量局报告和2004至2009年间抗体测试的系统文献搜索，提出了基于CD特异性抗体测试的证据基础推荐。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医学指南更新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肠病诊断新标准的制定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通过专家小组的Delphi过程，制定了新的肠病诊断标准，包括对症状、阳性血清学和与CD一致的组织学的诊断方法。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医学指南更新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肠病诊断新标准的目标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新指南旨在提高诊断准确性并减轻患者及其家庭的负担。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医学指南目标</w:t>
            </w:r>
          </w:p>
        </w:tc>
      </w:tr>
    </w:tbl>
    <w:p>
      <w:pPr>
        <w:pStyle w:val="Heading2"/>
        <w:spacing w:before="400" w:after="400" w:line="400" w:lineRule="atLeast"/>
      </w:pPr>
      <w:r>
        <w:t>相关组织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欧洲儿科胃肠病学、肝病学和营养学会 (ESPGHAN)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该组织负责制定和更新自身免疫性疾病的诊断标准。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医学/健康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美国国家 Institutes of Health (NIH)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NIH是美国的医学研究机构，参与了关于乳糜泻抗体测试的报告。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政府/医学研究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医疗保健研究与质量管理局 (Agency for Healthcare Research and Quality, AHRQ)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AHRQ是美国的一个独立的联邦机构，负责提供关于医疗保健的研究和质量改进的信息。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政府/医疗保健研究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1. 指南共识 l 2025ADA标准：糖尿病综合医疗评估与合并症评估（04） [2024-12-17]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2. 如何诊断及治疗桥本甲状腺炎 [2022-03-31]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3. 自身免疫病：身体的自残行为，可以被中止吗？来自乳糜泻的启示 [2025-05-01]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4. 指南共识：2022儿童和青少年1型糖尿病诊治标准 [2022-04-14]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5. 桥本甲状腺炎基础知识 [2018-05-16]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6. 桥本甲状腺炎的饮食与治疗指南 [2024-10-13]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7. 桥本氏甲状腺炎与其他免疫病的关系 [2023-11-14]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8. 桥本甲状腺炎 [2022-02-01]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9. Ã. S. Husby, S. Koletzko et al. “European Society for Pediatric Gastroenterology, Hepatology, and Nutrition Guidelines for the Diagnosis of Coeliac Disease.” Journal of Pediatric Gastroenterology and Nutrition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10. Type 1 Diabetes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11. 育儿基础：甲状腺疾病 ③ | 孩子脖子粗，注意桥本甲状腺炎 [2021-01-01]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12. 桥本氏甲状腺炎的诊断与治疗 [2021-02-24]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13. M. Lechleitner, F. Hoppichler et al. “Autoimmunerkrankungen bei Typ 1 Diabetes.” Wiener klinische Wochenschrift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14. 7个你必须知道的桥本甲状腺炎真相 [2025-07-01]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15. 抗核抗体细胞核致密颗粒型（AC-2）案例分析 [2024-04-12]</w:t>
        </w:r>
      </w:hyperlink>
    </w:p>
    <w:sectPr>
      <w:headerReference w:type="default" r:id="rId20"/>
      <w:footerReference w:type="default" r:id="rId21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412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82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1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Mode="External" Target="https://mp.weixin.qq.com/s?__biz=MzIwMTk4MzY2OQ%3D%3D&amp;mid=2247519998&amp;idx=4&amp;sn=f5b073a68d4c6300aa01424647e134a5&amp;chksm=97ed21226b3108f5d13bc1ed909edf84dd28d71a8e160edbfdc851d962f8ab7264257a280002&amp;scene=27" Type="http://schemas.openxmlformats.org/officeDocument/2006/relationships/hyperlink" Id="rId5"/>
    <Relationship TargetMode="External" Target="https://mp.weixin.qq.com/s?__biz=MzI2ODE0MDY1Nw%3D%3D&amp;mid=2651176747&amp;idx=1&amp;sn=7be85f844511a6714b3cb0301534ef52&amp;chksm=f1053635c672bf23c18141fdfe7366dd56ca6e1667145b656215d7740f7832afb7045d2dfae2&amp;scene=27" Type="http://schemas.openxmlformats.org/officeDocument/2006/relationships/hyperlink" Id="rId6"/>
    <Relationship TargetMode="External" Target="https://mp.weixin.qq.com/s?__biz=MzA3MTM3OTQ5Nw%3D%3D&amp;mid=2651011640&amp;idx=1&amp;sn=786a8a89edb685b53c7edd52d2dafd11&amp;chksm=84d9e57eb3ae6c68c5703c0f47c3bc32050dcabb5b3113b62416ca402c46bc9ba1b6a58e6106&amp;scene=27" Type="http://schemas.openxmlformats.org/officeDocument/2006/relationships/hyperlink" Id="rId7"/>
    <Relationship TargetMode="External" Target="https://www.360doc.cn/article/71506669_1026480838.html" Type="http://schemas.openxmlformats.org/officeDocument/2006/relationships/hyperlink" Id="rId8"/>
    <Relationship TargetMode="External" Target="https://zhuanlan.zhihu.com/p/36931528" Type="http://schemas.openxmlformats.org/officeDocument/2006/relationships/hyperlink" Id="rId9"/>
    <Relationship TargetMode="External" Target="https://news.qq.com/rain/a/20241013A0429Y00" Type="http://schemas.openxmlformats.org/officeDocument/2006/relationships/hyperlink" Id="rId10"/>
    <Relationship TargetMode="External" Target="http://fs.39.net/a/231114/s8j8nfq.html" Type="http://schemas.openxmlformats.org/officeDocument/2006/relationships/hyperlink" Id="rId11"/>
    <Relationship TargetMode="External" Target="https://dxy.com/disease/4924/detail/4" Type="http://schemas.openxmlformats.org/officeDocument/2006/relationships/hyperlink" Id="rId12"/>
    <Relationship TargetMode="External" Target="https://doi.org/10.1097/MPG.0b013e31821a23d0" Type="http://schemas.openxmlformats.org/officeDocument/2006/relationships/hyperlink" Id="rId13"/>
    <Relationship TargetMode="External" Target="https://www.ndl.ethernet.edu.et/bitstream/123456789/19930/1/1806.pdf" Type="http://schemas.openxmlformats.org/officeDocument/2006/relationships/hyperlink" Id="rId14"/>
    <Relationship TargetMode="External" Target="https://mp.weixin.qq.com/s?__biz=MzU2MzkxNzA0NQ%3D%3D&amp;mid=2247484264&amp;idx=1&amp;sn=02e71422f44113de6d42f83639ebe817&amp;chksm=fc53baf2cb2433e45ccaef5fcc76a2c0c3ed09d1eeb41efa69a13257fad351fadc5a6f925925&amp;scene=27" Type="http://schemas.openxmlformats.org/officeDocument/2006/relationships/hyperlink" Id="rId15"/>
    <Relationship TargetMode="External" Target="https://m.haodf.com/tuijian/jibing_qiaobenjiazhuangxianyan_344.htm" Type="http://schemas.openxmlformats.org/officeDocument/2006/relationships/hyperlink" Id="rId16"/>
    <Relationship TargetMode="External" Target="https://doi.org/10.1007/s00508-015-0929-x" Type="http://schemas.openxmlformats.org/officeDocument/2006/relationships/hyperlink" Id="rId17"/>
    <Relationship TargetMode="External" Target="https://www.bilibili.com/read/cv42177491" Type="http://schemas.openxmlformats.org/officeDocument/2006/relationships/hyperlink" Id="rId18"/>
    <Relationship TargetMode="External" Target="https://mp.weixin.qq.com/s?__biz=MzU5MjA5OTAyMw%3D%3D&amp;mid=2247496378&amp;idx=1&amp;sn=2d8e899d8347379a6a2892046f14e1eb&amp;chksm=fe26511ac951d80cccaeb13f078062661b5f5ce85990fa30d00283272f877b6a0fc058fe5d22&amp;scene=27" Type="http://schemas.openxmlformats.org/officeDocument/2006/relationships/hyperlink" Id="rId19"/>
    <Relationship Target="header.xml" Type="http://schemas.openxmlformats.org/officeDocument/2006/relationships/header" Id="rId20"/>
    <Relationship Target="footer.xml" Type="http://schemas.openxmlformats.org/officeDocument/2006/relationships/footer" Id="rId21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