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header+xml" PartName="/word/header.xml"/>
  <Override ContentType="image/png" PartName="/word/media/header_image_rId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w15="http://schemas.microsoft.com/office/word/2012/wordml" xmlns:a14="http://schemas.microsoft.com/office/drawing/2010/main" xmlns:sl="http://schemas.openxmlformats.org/schemaLibrary/2006/main" xmlns:wne="http://schemas.microsoft.com/office/word/2006/wordml" xmlns:cdr="http://schemas.openxmlformats.org/drawingml/2006/chartDrawing" xmlns:c="http://schemas.openxmlformats.org/drawingml/2006/chart"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Temurin Java 1.8.0_345 on Linux -->
    <w:p>
      <w:pPr>
        <w:spacing w:after="400" w:line="400" w:lineRule="atLeast"/>
        <w:jc w:val="center"/>
      </w:pPr>
      <w:r>
        <w:rPr>
          <w:b/>
          <w:sz w:val="39"/>
        </w:rPr>
        <w:t xml:space="preserve">桥本氏甲状腺炎患者硒补充剂 是否有循证依据？其作用机制是什么（如调节谷胱甘肽过氧化物酶活性）？</w:t>
      </w:r>
    </w:p>
    <w:p>
      <w:pPr>
        <w:pStyle w:val="Heading2"/>
        <w:spacing w:after="400" w:line="400" w:lineRule="atLeast"/>
      </w:pPr>
      <w:r>
        <w:t>回答</w:t>
      </w:r>
    </w:p>
    <w:p>
      <w:pPr>
        <w:spacing w:after="400" w:line="400" w:lineRule="atLeast"/>
      </w:pPr>
      <w:r>
        <w:t>根据现有循证医学证据，桥本氏甲状腺炎（HT）患者补充硒的临床价值主要体现在降低自身抗体水平和调节免疫应答方面，但在改善甲状腺功能指标上作用有限。以下是综合分析：</w:t>
      </w:r>
    </w:p>
    <w:p>
      <w:pPr>
        <w:spacing w:after="400" w:line="400" w:lineRule="atLeast"/>
      </w:pPr>
      <w:r>
        <w:rPr>
          <w:b/>
          <w:sz w:val="30"/>
        </w:rPr>
        <w:t>一、硒补充的循证依据（有效性）</w:t>
      </w:r>
    </w:p>
    <w:p>
      <w:pPr>
        <w:spacing w:after="400" w:line="400" w:lineRule="atLeast"/>
      </w:pPr>
      <w:r>
        <w:rPr>
          <w:b/>
          <w:sz w:val="26"/>
        </w:rPr>
        <w:t xml:space="preserve">1. </w:t>
      </w:r>
      <w:r>
        <w:rPr>
          <w:b w:val="true"/>
          <w:sz w:val="26"/>
        </w:rPr>
        <w:t>降低甲状腺自身抗体水平（核心证据）</w:t>
      </w:r>
    </w:p>
    <w:p>
      <w:pPr>
        <w:numPr>
          <w:ilvl w:val="-1"/>
          <w:numId w:val="14"/>
        </w:numPr>
        <w:spacing w:after="400" w:line="400" w:lineRule="atLeast"/>
      </w:pPr>
      <w:r>
        <w:rPr>
          <w:b w:val="true"/>
        </w:rPr>
        <w:t>TPOAb/TgAb显著下降</w:t>
      </w:r>
      <w:r>
        <w:t>：</w:t>
      </w:r>
    </w:p>
    <w:p>
      <w:pPr>
        <w:numPr>
          <w:ilvl w:val="-1"/>
          <w:numId w:val="18"/>
        </w:numPr>
        <w:spacing w:after="400" w:line="400" w:lineRule="atLeast"/>
      </w:pPr>
      <w:r>
        <w:t>多项RCT研究（共纳入1466例患者）证实：</w:t>
      </w:r>
      <w:r>
        <w:rPr>
          <w:b w:val="true"/>
        </w:rPr>
        <w:t>硒补充联合左甲状腺素治疗组</w:t>
      </w:r>
      <w:r>
        <w:t xml:space="preserve">的TPOAb、TgAb水平显著低于单用左甲状腺素组（SMD=-4.31, P&lt;0.001），其中补硒200μg/d组的抗体降幅更明显[14][11]。</w:t>
      </w:r>
    </w:p>
    <w:p>
      <w:pPr>
        <w:numPr>
          <w:ilvl w:val="-1"/>
          <w:numId w:val="18"/>
        </w:numPr>
        <w:spacing w:after="400" w:line="400" w:lineRule="atLeast"/>
      </w:pPr>
      <w:r>
        <w:t>机制关联：硒通过增强谷胱甘肽过氧化物酶（GPX）活性，减少氧化应激对甲状腺滤泡的破坏，从而降低抗体滴度[1][4][12]。</w:t>
      </w:r>
    </w:p>
    <w:p>
      <w:pPr>
        <w:numPr>
          <w:ilvl w:val="-1"/>
          <w:numId w:val="14"/>
        </w:numPr>
        <w:spacing w:after="400" w:line="400" w:lineRule="atLeast"/>
      </w:pPr>
      <w:r>
        <w:rPr>
          <w:b w:val="true"/>
        </w:rPr>
        <w:t>起效时间与剂量</w:t>
      </w:r>
      <w:r>
        <w:t>：</w:t>
      </w:r>
    </w:p>
    <w:p>
      <w:pPr>
        <w:numPr>
          <w:ilvl w:val="-1"/>
          <w:numId w:val="9"/>
        </w:numPr>
        <w:spacing w:after="400" w:line="400" w:lineRule="atLeast"/>
      </w:pPr>
      <w:r>
        <w:t>最小有效剂量为200μg/d（亚硒酸钠或硒酵母），100μg/d效果不显著[13][7]。</w:t>
      </w:r>
    </w:p>
    <w:p>
      <w:pPr>
        <w:numPr>
          <w:ilvl w:val="-1"/>
          <w:numId w:val="9"/>
        </w:numPr>
        <w:spacing w:after="400" w:line="400" w:lineRule="atLeast"/>
      </w:pPr>
      <w:r>
        <w:t>抗体水平在补硒3-6个月后显著下降，但停药后可能反弹[6][15]。</w:t>
      </w:r>
    </w:p>
    <w:p>
      <w:pPr>
        <w:spacing w:after="400" w:line="400" w:lineRule="atLeast"/>
      </w:pPr>
      <w:r>
        <w:rPr>
          <w:b/>
          <w:sz w:val="26"/>
        </w:rPr>
        <w:t xml:space="preserve">2. </w:t>
      </w:r>
      <w:r>
        <w:rPr>
          <w:b w:val="true"/>
          <w:sz w:val="26"/>
        </w:rPr>
        <w:t>延缓疾病进展</w:t>
      </w:r>
    </w:p>
    <w:p>
      <w:pPr>
        <w:numPr>
          <w:ilvl w:val="-1"/>
          <w:numId w:val="4"/>
        </w:numPr>
        <w:spacing w:after="400" w:line="400" w:lineRule="atLeast"/>
      </w:pPr>
      <w:r>
        <w:rPr>
          <w:b w:val="true"/>
        </w:rPr>
        <w:t>减少甲减发生风险</w:t>
      </w:r>
      <w:r>
        <w:t>：</w:t>
      </w:r>
    </w:p>
    <w:p>
      <w:pPr>
        <w:numPr>
          <w:ilvl w:val="-1"/>
          <w:numId w:val="2"/>
        </w:numPr>
        <w:spacing w:after="400" w:line="400" w:lineRule="atLeast"/>
      </w:pPr>
      <w:r>
        <w:t>早期补硒（尤其甲状腺功能正常时）可降低17例患者3-6个月内进展为亚临床/临床甲减的风险（P&lt;0.01）[7]。</w:t>
      </w:r>
    </w:p>
    <w:p>
      <w:pPr>
        <w:numPr>
          <w:ilvl w:val="-1"/>
          <w:numId w:val="2"/>
        </w:numPr>
        <w:spacing w:after="400" w:line="400" w:lineRule="atLeast"/>
      </w:pPr>
      <w:r>
        <w:t>机制：硒通过抑制IL-2释放，减少自身抗体生成，减轻甲状腺淋巴细胞浸润[3][15]。</w:t>
      </w:r>
    </w:p>
    <w:p>
      <w:pPr>
        <w:spacing w:after="400" w:line="400" w:lineRule="atLeast"/>
      </w:pPr>
      <w:r>
        <w:rPr>
          <w:b/>
          <w:sz w:val="26"/>
        </w:rPr>
        <w:t xml:space="preserve">3. </w:t>
      </w:r>
      <w:r>
        <w:rPr>
          <w:b w:val="true"/>
          <w:sz w:val="26"/>
        </w:rPr>
        <w:t>对甲状腺功能指标的改善有限</w:t>
      </w:r>
    </w:p>
    <w:p>
      <w:pPr>
        <w:numPr>
          <w:ilvl w:val="-1"/>
          <w:numId w:val="11"/>
        </w:numPr>
        <w:spacing w:after="400" w:line="400" w:lineRule="atLeast"/>
      </w:pPr>
      <w:r>
        <w:rPr>
          <w:b w:val="true"/>
        </w:rPr>
        <w:t>TSH/FT3/FT4无显著变化</w:t>
      </w:r>
      <w:r>
        <w:t>：</w:t>
      </w:r>
    </w:p>
    <w:p>
      <w:pPr>
        <w:numPr>
          <w:ilvl w:val="-1"/>
          <w:numId w:val="12"/>
        </w:numPr>
        <w:spacing w:after="400" w:line="400" w:lineRule="atLeast"/>
      </w:pPr>
      <w:r>
        <w:t>多数研究显示，补硒组与对照组在TSH、FT3、FT4水平上差异无统计学意义（P&gt;0.05）[11][15][5]。</w:t>
      </w:r>
    </w:p>
    <w:p>
      <w:pPr>
        <w:numPr>
          <w:ilvl w:val="-1"/>
          <w:numId w:val="12"/>
        </w:numPr>
        <w:spacing w:after="400" w:line="400" w:lineRule="atLeast"/>
      </w:pPr>
      <w:r>
        <w:t>例外：重度硒缺乏患者（血清硒&lt;60μg/L）补硒后TSH轻微下降[10]。</w:t>
      </w:r>
    </w:p>
    <w:p>
      <w:pPr>
        <w:spacing w:after="400" w:line="400" w:lineRule="atLeast"/>
      </w:pPr>
      <w:r>
        <w:rPr>
          <w:b/>
          <w:sz w:val="30"/>
        </w:rPr>
        <w:t>二、作用机制：三大核心途径</w:t>
      </w:r>
    </w:p>
    <w:p>
      <w:pPr>
        <w:spacing w:after="400" w:line="400" w:lineRule="atLeast"/>
      </w:pPr>
      <w:r>
        <w:rPr>
          <w:b/>
          <w:sz w:val="26"/>
        </w:rPr>
        <w:t xml:space="preserve">1. </w:t>
      </w:r>
      <w:r>
        <w:rPr>
          <w:b w:val="true"/>
          <w:sz w:val="26"/>
        </w:rPr>
        <w:t>抗氧化防御：调节谷胱甘肽过氧化物酶（GPX）活性</w:t>
      </w:r>
    </w:p>
    <w:p>
      <w:pPr>
        <w:numPr>
          <w:ilvl w:val="-1"/>
          <w:numId w:val="15"/>
        </w:numPr>
        <w:spacing w:after="400" w:line="400" w:lineRule="atLeast"/>
      </w:pPr>
      <w:r>
        <w:rPr>
          <w:b w:val="true"/>
        </w:rPr>
        <w:t>清除过氧化氢（H₂O₂）</w:t>
      </w:r>
      <w:r>
        <w:t>：</w:t>
      </w:r>
    </w:p>
    <w:p>
      <w:pPr>
        <w:spacing w:after="400" w:line="400" w:lineRule="atLeast"/>
      </w:pPr>
      <w:r>
        <w:t>甲状腺激素合成需H₂O₂参与，但过量H₂O₂导致氧化损伤。硒作为GPX的必需辅因子，可催化H₂O₂分解，保护甲状腺滤泡细胞[1][8][12]。</w:t>
      </w:r>
    </w:p>
    <w:p>
      <w:r>
        <w:t xml:space="preserve">graph LR
</w:t>
      </w:r>
    </w:p>
    <w:p>
      <w:r>
        <w:t xml:space="preserve">A[补硒] --&gt; B[GPX活性↑]
</w:t>
      </w:r>
    </w:p>
    <w:p>
      <w:r>
        <w:t xml:space="preserve">B --&gt; C[清除H₂O₂能力↑]
</w:t>
      </w:r>
    </w:p>
    <w:p>
      <w:r>
        <w:t xml:space="preserve">C --&gt; D[减少甲状腺氧化损伤]
</w:t>
      </w:r>
    </w:p>
    <w:p>
      <w:r>
        <w:t xml:space="preserve">D --&gt; E[降低TPOAb/TgAb]
</w:t>
      </w:r>
    </w:p>
    <w:p>
      <w:pPr>
        <w:numPr>
          <w:ilvl w:val="-1"/>
          <w:numId w:val="15"/>
        </w:numPr>
        <w:spacing w:after="400" w:line="400" w:lineRule="atLeast"/>
      </w:pPr>
      <w:r>
        <w:rPr>
          <w:b w:val="true"/>
        </w:rPr>
        <w:t>提升抗氧化酶活性</w:t>
      </w:r>
      <w:r>
        <w:t>：</w:t>
      </w:r>
    </w:p>
    <w:p>
      <w:pPr>
        <w:spacing w:after="400" w:line="400" w:lineRule="atLeast"/>
      </w:pPr>
      <w:r>
        <w:t>补硒后GPX、超氧化物歧化酶（SOD）活性显著升高，丙二醛（MDA，氧化应激标志物）水平下降（P&lt;0.05）[11][15]。</w:t>
      </w:r>
    </w:p>
    <w:p>
      <w:pPr>
        <w:spacing w:after="400" w:line="400" w:lineRule="atLeast"/>
      </w:pPr>
      <w:r>
        <w:rPr>
          <w:b/>
          <w:sz w:val="26"/>
        </w:rPr>
        <w:t xml:space="preserve">2. </w:t>
      </w:r>
      <w:r>
        <w:rPr>
          <w:b w:val="true"/>
          <w:sz w:val="26"/>
        </w:rPr>
        <w:t>免疫调节：诱导免疫耐受</w:t>
      </w:r>
    </w:p>
    <w:p>
      <w:pPr>
        <w:numPr>
          <w:ilvl w:val="-1"/>
          <w:numId w:val="17"/>
        </w:numPr>
        <w:spacing w:after="400" w:line="400" w:lineRule="atLeast"/>
      </w:pPr>
      <w:r>
        <w:rPr>
          <w:b w:val="true"/>
        </w:rPr>
        <w:t>调节T淋巴细胞亚群</w:t>
      </w:r>
      <w:r>
        <w:t>：</w:t>
      </w:r>
    </w:p>
    <w:p>
      <w:pPr>
        <w:numPr>
          <w:ilvl w:val="-1"/>
          <w:numId w:val="13"/>
        </w:numPr>
        <w:spacing w:after="400" w:line="400" w:lineRule="atLeast"/>
      </w:pPr>
      <w:r>
        <w:t>增加调节性T细胞（Treg）数量，抑制Th1型免疫反应（如降低IFN-γ）[4][15]。</w:t>
      </w:r>
    </w:p>
    <w:p>
      <w:pPr>
        <w:numPr>
          <w:ilvl w:val="-1"/>
          <w:numId w:val="13"/>
        </w:numPr>
        <w:spacing w:after="400" w:line="400" w:lineRule="atLeast"/>
      </w:pPr>
      <w:r>
        <w:t>降低促炎因子IL-2，升高抗炎因子IL-4/IL-10（P&lt;0.05）[11][15]。</w:t>
      </w:r>
    </w:p>
    <w:p>
      <w:pPr>
        <w:numPr>
          <w:ilvl w:val="-1"/>
          <w:numId w:val="17"/>
        </w:numPr>
        <w:spacing w:after="400" w:line="400" w:lineRule="atLeast"/>
      </w:pPr>
      <w:r>
        <w:rPr>
          <w:b w:val="true"/>
        </w:rPr>
        <w:t>影响树突状细胞（DC）</w:t>
      </w:r>
      <w:r>
        <w:t>：</w:t>
      </w:r>
    </w:p>
    <w:p>
      <w:pPr>
        <w:spacing w:after="400" w:line="400" w:lineRule="atLeast"/>
      </w:pPr>
      <w:r>
        <w:t>硒诱导DC向耐受表型（Tol-DC）转化，减少自身抗原呈递[4]。</w:t>
      </w:r>
    </w:p>
    <w:p>
      <w:pPr>
        <w:spacing w:after="400" w:line="400" w:lineRule="atLeast"/>
      </w:pPr>
      <w:r>
        <w:rPr>
          <w:b/>
          <w:sz w:val="26"/>
        </w:rPr>
        <w:t xml:space="preserve">3. </w:t>
      </w:r>
      <w:r>
        <w:rPr>
          <w:b w:val="true"/>
          <w:sz w:val="26"/>
        </w:rPr>
        <w:t>保护甲状腺激素代谢</w:t>
      </w:r>
    </w:p>
    <w:p>
      <w:pPr>
        <w:numPr>
          <w:ilvl w:val="-1"/>
          <w:numId w:val="16"/>
        </w:numPr>
        <w:spacing w:after="400" w:line="400" w:lineRule="atLeast"/>
      </w:pPr>
      <w:r>
        <w:rPr>
          <w:b w:val="true"/>
        </w:rPr>
        <w:t>维持脱碘酶活性</w:t>
      </w:r>
      <w:r>
        <w:t>：</w:t>
      </w:r>
    </w:p>
    <w:p>
      <w:pPr>
        <w:spacing w:after="400" w:line="400" w:lineRule="atLeast"/>
      </w:pPr>
      <w:r>
        <w:t>硒是碘甲状腺素脱碘酶（DIOs）的组成部分，参与T4向T3转化，但补硒对甲状腺功能正常者的激素水平影响较小[2][8]。</w:t>
      </w:r>
    </w:p>
    <w:p>
      <w:pPr>
        <w:spacing w:after="400" w:line="400" w:lineRule="atLeast"/>
      </w:pPr>
      <w:r>
        <w:rPr>
          <w:b/>
          <w:sz w:val="30"/>
        </w:rPr>
        <w:t>三、适用人群与临床建议</w:t>
      </w:r>
    </w:p>
    <w:p>
      <w:pPr>
        <w:spacing w:after="400" w:line="400" w:lineRule="atLeast"/>
      </w:pPr>
      <w:r>
        <w:rPr>
          <w:b/>
          <w:sz w:val="26"/>
        </w:rPr>
        <w:t xml:space="preserve">1. </w:t>
      </w:r>
      <w:r>
        <w:rPr>
          <w:b w:val="true"/>
          <w:sz w:val="26"/>
        </w:rPr>
        <w:t>推荐补硒的人群</w:t>
      </w:r>
    </w:p>
    <w:tbl>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Grid>
        <w:gridCol w:w="2765"/>
        <w:gridCol w:w="2765"/>
        <w:gridCol w:w="2765"/>
      </w:tblGrid>
      <w:tr>
        <w:tc>
          <w:tcPr>
            <w:tcW w:w="2765" w:type="dxa"/>
            <w:tcBorders/>
          </w:tcPr>
          <w:p>
            <w:pPr>
              <w:spacing w:after="400" w:line="400" w:lineRule="exact"/>
            </w:pPr>
            <w:r>
              <w:rPr>
                <w:b w:val="true"/>
              </w:rPr>
              <w:t>人群特征</w:t>
            </w:r>
          </w:p>
        </w:tc>
        <w:tc>
          <w:tcPr>
            <w:tcW w:w="2765" w:type="dxa"/>
            <w:tcBorders/>
          </w:tcPr>
          <w:p>
            <w:pPr>
              <w:spacing w:after="400" w:line="400" w:lineRule="exact"/>
            </w:pPr>
            <w:r>
              <w:rPr>
                <w:b w:val="true"/>
              </w:rPr>
              <w:t>获益证据</w:t>
            </w:r>
          </w:p>
        </w:tc>
        <w:tc>
          <w:tcPr>
            <w:tcW w:w="2765" w:type="dxa"/>
            <w:tcBorders/>
          </w:tcPr>
          <w:p>
            <w:pPr>
              <w:spacing w:after="400" w:line="400" w:lineRule="exact"/>
            </w:pPr>
            <w:r>
              <w:rPr>
                <w:b w:val="true"/>
              </w:rPr>
              <w:t>建议方案</w:t>
            </w:r>
          </w:p>
        </w:tc>
      </w:tr>
      <w:tr>
        <w:tc>
          <w:tcPr>
            <w:tcW w:w="2765" w:type="dxa"/>
            <w:tcBorders/>
          </w:tcPr>
          <w:p>
            <w:pPr>
              <w:spacing w:after="400" w:line="400" w:lineRule="exact"/>
            </w:pPr>
            <w:r>
              <w:t xml:space="preserve">TPOAb&gt;500 IU/mL</w:t>
            </w:r>
          </w:p>
        </w:tc>
        <w:tc>
          <w:tcPr>
            <w:tcW w:w="2765" w:type="dxa"/>
            <w:tcBorders/>
          </w:tcPr>
          <w:p>
            <w:pPr>
              <w:spacing w:after="400" w:line="400" w:lineRule="exact"/>
            </w:pPr>
            <w:r>
              <w:t xml:space="preserve">抗体降幅达40-66% [7][10]</w:t>
            </w:r>
          </w:p>
        </w:tc>
        <w:tc>
          <w:tcPr>
            <w:tcW w:w="2765" w:type="dxa"/>
            <w:tcBorders/>
          </w:tcPr>
          <w:p>
            <w:pPr>
              <w:spacing w:after="400" w:line="400" w:lineRule="exact"/>
            </w:pPr>
            <w:r>
              <w:t xml:space="preserve">硒酵母200μg/d × 3-6个月</w:t>
            </w:r>
          </w:p>
        </w:tc>
      </w:tr>
      <w:tr>
        <w:tc>
          <w:tcPr>
            <w:tcW w:w="2765" w:type="dxa"/>
            <w:tcBorders/>
          </w:tcPr>
          <w:p>
            <w:pPr>
              <w:spacing w:after="400" w:line="400" w:lineRule="exact"/>
            </w:pPr>
            <w:r>
              <w:t>甲状腺功能正常的早期HT</w:t>
            </w:r>
          </w:p>
        </w:tc>
        <w:tc>
          <w:tcPr>
            <w:tcW w:w="2765" w:type="dxa"/>
            <w:tcBorders/>
          </w:tcPr>
          <w:p>
            <w:pPr>
              <w:spacing w:after="400" w:line="400" w:lineRule="exact"/>
            </w:pPr>
            <w:r>
              <w:t xml:space="preserve">延缓甲减进展 [7][14]</w:t>
            </w:r>
          </w:p>
        </w:tc>
        <w:tc>
          <w:tcPr>
            <w:tcW w:w="2765" w:type="dxa"/>
            <w:tcBorders/>
          </w:tcPr>
          <w:p>
            <w:pPr>
              <w:spacing w:after="400" w:line="400" w:lineRule="exact"/>
            </w:pPr>
            <w:r>
              <w:t>联合左甲状腺素（如需）</w:t>
            </w:r>
          </w:p>
        </w:tc>
      </w:tr>
      <w:tr>
        <w:tc>
          <w:tcPr>
            <w:tcW w:w="2765" w:type="dxa"/>
            <w:tcBorders/>
          </w:tcPr>
          <w:p>
            <w:pPr>
              <w:spacing w:after="400" w:line="400" w:lineRule="exact"/>
            </w:pPr>
            <w:r>
              <w:t>合并硒缺乏（血清硒&lt;60μg/L）</w:t>
            </w:r>
          </w:p>
        </w:tc>
        <w:tc>
          <w:tcPr>
            <w:tcW w:w="2765" w:type="dxa"/>
            <w:tcBorders/>
          </w:tcPr>
          <w:p>
            <w:pPr>
              <w:spacing w:after="400" w:line="400" w:lineRule="exact"/>
            </w:pPr>
            <w:r>
              <w:t xml:space="preserve">TSH轻微下降，抗体显著降低 [10][11]</w:t>
            </w:r>
          </w:p>
        </w:tc>
        <w:tc>
          <w:tcPr>
            <w:tcW w:w="2765" w:type="dxa"/>
            <w:tcBorders/>
          </w:tcPr>
          <w:p>
            <w:pPr>
              <w:spacing w:after="400" w:line="400" w:lineRule="exact"/>
            </w:pPr>
            <w:r>
              <w:t>先纠正缺乏，后维持</w:t>
            </w:r>
          </w:p>
        </w:tc>
      </w:tr>
    </w:tbl>
    <w:p>
      <w:pPr>
        <w:spacing w:before="400" w:after="400" w:line="400" w:lineRule="atLeast"/>
      </w:pPr>
      <w:r>
        <w:rPr>
          <w:b/>
          <w:sz w:val="26"/>
        </w:rPr>
        <w:t xml:space="preserve">2. </w:t>
      </w:r>
      <w:r>
        <w:rPr>
          <w:b w:val="true"/>
          <w:sz w:val="26"/>
        </w:rPr>
        <w:t>不推荐或慎用人群</w:t>
      </w:r>
    </w:p>
    <w:p>
      <w:pPr>
        <w:numPr>
          <w:ilvl w:val="-1"/>
          <w:numId w:val="7"/>
        </w:numPr>
        <w:spacing w:after="400" w:line="400" w:lineRule="atLeast"/>
      </w:pPr>
      <w:r>
        <w:rPr>
          <w:b w:val="true"/>
        </w:rPr>
        <w:t>甲状腺功能稳定者</w:t>
      </w:r>
      <w:r>
        <w:t>：无明确获益[5][8]。</w:t>
      </w:r>
    </w:p>
    <w:p>
      <w:pPr>
        <w:numPr>
          <w:ilvl w:val="-1"/>
          <w:numId w:val="7"/>
        </w:numPr>
        <w:spacing w:after="400" w:line="400" w:lineRule="atLeast"/>
      </w:pPr>
      <w:r>
        <w:rPr>
          <w:b w:val="true"/>
        </w:rPr>
        <w:t>硒充足地区居民</w:t>
      </w:r>
      <w:r>
        <w:t>：过量补硒（&gt;400μg/d）可能引发毒性（脱发、指甲病变）[6][13]。</w:t>
      </w:r>
    </w:p>
    <w:p>
      <w:pPr>
        <w:spacing w:after="400" w:line="400" w:lineRule="atLeast"/>
      </w:pPr>
      <w:r>
        <w:rPr>
          <w:b/>
          <w:sz w:val="26"/>
        </w:rPr>
        <w:t xml:space="preserve">3. </w:t>
      </w:r>
      <w:r>
        <w:rPr>
          <w:b w:val="true"/>
          <w:sz w:val="26"/>
        </w:rPr>
        <w:t>临床实践要点</w:t>
      </w:r>
    </w:p>
    <w:p>
      <w:pPr>
        <w:numPr>
          <w:ilvl w:val="-1"/>
          <w:numId w:val="19"/>
        </w:numPr>
        <w:spacing w:after="400" w:line="400" w:lineRule="atLeast"/>
      </w:pPr>
      <w:r>
        <w:rPr>
          <w:b w:val="true"/>
        </w:rPr>
        <w:t>筛查基线硒水平</w:t>
      </w:r>
      <w:r>
        <w:t>：血清硒检测指导个体化剂量[11]。</w:t>
      </w:r>
    </w:p>
    <w:p>
      <w:pPr>
        <w:numPr>
          <w:ilvl w:val="-1"/>
          <w:numId w:val="19"/>
        </w:numPr>
        <w:spacing w:after="400" w:line="400" w:lineRule="atLeast"/>
      </w:pPr>
      <w:r>
        <w:rPr>
          <w:b w:val="true"/>
        </w:rPr>
        <w:t>联合用药优于单药</w:t>
      </w:r>
      <w:r>
        <w:t>：硒+左甲状腺素比单用任一组抗体降幅更大[14][15]。</w:t>
      </w:r>
    </w:p>
    <w:p>
      <w:pPr>
        <w:numPr>
          <w:ilvl w:val="-1"/>
          <w:numId w:val="19"/>
        </w:numPr>
        <w:spacing w:after="400" w:line="400" w:lineRule="atLeast"/>
      </w:pPr>
      <w:r>
        <w:rPr>
          <w:b w:val="true"/>
        </w:rPr>
        <w:t>监测指标</w:t>
      </w:r>
      <w:r>
        <w:t>：每3个月复查TPOAb/TgAb、TSH及硒水平（防过量）[1][6]。</w:t>
      </w:r>
    </w:p>
    <w:p>
      <w:pPr>
        <w:spacing w:after="400" w:line="400" w:lineRule="atLeast"/>
      </w:pPr>
      <w:r>
        <w:rPr>
          <w:b/>
          <w:sz w:val="30"/>
        </w:rPr>
        <w:t>四、争议与局限性</w:t>
      </w:r>
    </w:p>
    <w:p>
      <w:pPr>
        <w:numPr>
          <w:ilvl w:val="0"/>
          <w:numId w:val="5"/>
        </w:numPr>
        <w:spacing w:after="400" w:line="400" w:lineRule="atLeast"/>
      </w:pPr>
      <w:r>
        <w:rPr>
          <w:b w:val="true"/>
        </w:rPr>
        <w:t>长期疗效不确定</w:t>
      </w:r>
      <w:r>
        <w:t>：</w:t>
      </w:r>
    </w:p>
    <w:p>
      <w:pPr>
        <w:numPr>
          <w:ilvl w:val="0"/>
          <w:numId w:val="8"/>
        </w:numPr>
        <w:spacing w:after="400" w:line="400" w:lineRule="atLeast"/>
      </w:pPr>
      <w:r>
        <w:t>抗体降低是否转化为“延缓甲减”的临床终点尚需10年以上随访[8][14]。</w:t>
      </w:r>
    </w:p>
    <w:p>
      <w:pPr>
        <w:numPr>
          <w:ilvl w:val="0"/>
          <w:numId w:val="5"/>
        </w:numPr>
        <w:spacing w:after="400" w:line="400" w:lineRule="atLeast"/>
      </w:pPr>
      <w:r>
        <w:rPr>
          <w:b w:val="true"/>
        </w:rPr>
        <w:t>研究设计缺陷</w:t>
      </w:r>
      <w:r>
        <w:t>：</w:t>
      </w:r>
    </w:p>
    <w:p>
      <w:pPr>
        <w:numPr>
          <w:ilvl w:val="0"/>
          <w:numId w:val="10"/>
        </w:numPr>
        <w:spacing w:after="400" w:line="400" w:lineRule="atLeast"/>
      </w:pPr>
      <w:r>
        <w:t>多数试验样本量小（&lt;100例）、周期短（≤6个月）[5][12]。</w:t>
      </w:r>
    </w:p>
    <w:p>
      <w:pPr>
        <w:numPr>
          <w:ilvl w:val="0"/>
          <w:numId w:val="5"/>
        </w:numPr>
        <w:spacing w:after="400" w:line="400" w:lineRule="atLeast"/>
      </w:pPr>
      <w:r>
        <w:rPr>
          <w:b w:val="true"/>
        </w:rPr>
        <w:t>机制未完全阐明</w:t>
      </w:r>
      <w:r>
        <w:t>：</w:t>
      </w:r>
    </w:p>
    <w:p>
      <w:pPr>
        <w:numPr>
          <w:ilvl w:val="0"/>
          <w:numId w:val="3"/>
        </w:numPr>
        <w:spacing w:after="400" w:line="400" w:lineRule="atLeast"/>
      </w:pPr>
      <w:r>
        <w:t>硒对甲状腺滤泡细胞凋亡的直接作用仍需细胞实验验证[8][13]。</w:t>
      </w:r>
    </w:p>
    <w:p>
      <w:pPr>
        <w:spacing w:after="400" w:line="400" w:lineRule="atLeast"/>
      </w:pPr>
      <w:r>
        <w:rPr>
          <w:b/>
          <w:sz w:val="30"/>
        </w:rPr>
        <w:t>五、结论</w:t>
      </w:r>
    </w:p>
    <w:p>
      <w:pPr>
        <w:numPr>
          <w:ilvl w:val="0"/>
          <w:numId w:val="6"/>
        </w:numPr>
        <w:spacing w:after="400" w:line="400" w:lineRule="atLeast"/>
      </w:pPr>
      <w:r>
        <w:rPr>
          <w:b w:val="true"/>
        </w:rPr>
        <w:t>循证依据等级</w:t>
      </w:r>
      <w:r>
        <w:t>：</w:t>
      </w:r>
    </w:p>
    <w:p>
      <w:pPr>
        <w:numPr>
          <w:ilvl w:val="0"/>
          <w:numId w:val="1"/>
        </w:numPr>
        <w:spacing w:after="400" w:line="400" w:lineRule="atLeast"/>
      </w:pPr>
      <w:r>
        <w:rPr>
          <w:b w:val="true"/>
        </w:rPr>
        <w:t>强证据</w:t>
      </w:r>
      <w:r>
        <w:t>：补硒可显著降低TPOAb/TgAb（尤其200μg/d剂量）。</w:t>
      </w:r>
    </w:p>
    <w:p>
      <w:pPr>
        <w:numPr>
          <w:ilvl w:val="0"/>
          <w:numId w:val="1"/>
        </w:numPr>
        <w:spacing w:after="400" w:line="400" w:lineRule="atLeast"/>
      </w:pPr>
      <w:r>
        <w:rPr>
          <w:b w:val="true"/>
        </w:rPr>
        <w:t>中等证据</w:t>
      </w:r>
      <w:r>
        <w:t>：延缓早期HT进展为甲减。</w:t>
      </w:r>
    </w:p>
    <w:p>
      <w:pPr>
        <w:numPr>
          <w:ilvl w:val="0"/>
          <w:numId w:val="1"/>
        </w:numPr>
        <w:spacing w:after="400" w:line="400" w:lineRule="atLeast"/>
      </w:pPr>
      <w:r>
        <w:rPr>
          <w:b w:val="true"/>
        </w:rPr>
        <w:t>弱证据</w:t>
      </w:r>
      <w:r>
        <w:t>：改善甲状腺功能指标。</w:t>
      </w:r>
    </w:p>
    <w:p>
      <w:pPr>
        <w:numPr>
          <w:ilvl w:val="0"/>
          <w:numId w:val="6"/>
        </w:numPr>
        <w:spacing w:after="400" w:line="400" w:lineRule="atLeast"/>
      </w:pPr>
      <w:r>
        <w:rPr>
          <w:b w:val="true"/>
        </w:rPr>
        <w:t>核心机制</w:t>
      </w:r>
      <w:r>
        <w:t>：</w:t>
      </w:r>
    </w:p>
    <w:p>
      <w:pPr>
        <w:spacing w:after="400" w:line="400" w:lineRule="atLeast"/>
      </w:pPr>
      <w:r>
        <w:t>通过增强GPX活性清除氧化应激产物，并调节Treg/Th1平衡诱导免疫耐受。</w:t>
      </w:r>
    </w:p>
    <w:p>
      <w:pPr>
        <w:numPr>
          <w:ilvl w:val="0"/>
          <w:numId w:val="6"/>
        </w:numPr>
        <w:spacing w:after="400" w:line="400" w:lineRule="atLeast"/>
      </w:pPr>
      <w:r>
        <w:rPr>
          <w:b w:val="true"/>
        </w:rPr>
        <w:t>临床推荐</w:t>
      </w:r>
      <w:r>
        <w:t>：</w:t>
      </w:r>
    </w:p>
    <w:p>
      <w:pPr>
        <w:spacing w:after="400" w:line="400" w:lineRule="atLeast"/>
      </w:pPr>
      <w:r>
        <w:rPr>
          <w:b w:val="true"/>
        </w:rPr>
        <w:t>活动期HT（抗体显著升高）且硒缺乏者</w:t>
      </w:r>
      <w:r>
        <w:t>推荐补硒200μg/d联合左甲状腺素，持续3-6个月[1][7][14]。</w:t>
      </w:r>
    </w:p>
    <w:p>
      <w:pPr>
        <w:pBdr>
          <w:left w:val="single" w:color="D0CECE" w:themeColor="background2" w:themeShade="E6" w:sz="12" w:space="4"/>
        </w:pBdr>
        <w:spacing w:after="400" w:line="400" w:lineRule="atLeast"/>
        <w:ind w:left="147" w:leftChars="70"/>
        <w:rPr>
          <w:color w:val="7F7F7F" w:themeColor="text1" w:themeTint="80"/>
        </w:rPr>
      </w:pPr>
      <w:r>
        <w:rPr>
          <w:b w:val="true"/>
          <w:color w:val="7F7F7F" w:themeColor="text1" w:themeTint="80"/>
        </w:rPr>
        <w:t>权威声明</w:t>
      </w:r>
      <w:r>
        <w:rPr>
          <w:color w:val="7F7F7F" w:themeColor="text1" w:themeTint="80"/>
        </w:rPr>
        <w:t xml:space="preserve">：2024年欧洲甲状腺协会（ETA）指南建议，TPOAb&gt;500 IU/mL的HT患者可尝试补硒治疗（证据等级：B）[1][8]。</w:t>
      </w:r>
    </w:p>
    <w:p>
      <w:pPr>
        <w:pStyle w:val="Heading2"/>
        <w:spacing w:after="400" w:line="400" w:lineRule="atLeast"/>
      </w:pPr>
      <w:r>
        <w:t>相关事件</w:t>
      </w:r>
    </w:p>
    <w:tbl>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Grid>
        <w:gridCol w:w="2074"/>
        <w:gridCol w:w="2074"/>
        <w:gridCol w:w="2074"/>
        <w:gridCol w:w="2074"/>
      </w:tblGrid>
      <w:tr>
        <w:tc>
          <w:tcPr>
            <w:tcW w:w="2074" w:type="dxa"/>
            <w:tcBorders/>
          </w:tcPr>
          <w:p>
            <w:pPr>
              <w:spacing w:after="400" w:line="400" w:lineRule="exact"/>
            </w:pPr>
            <w:r>
              <w:rPr>
                <w:b w:val="true"/>
              </w:rPr>
              <w:t>事件名称</w:t>
            </w:r>
          </w:p>
        </w:tc>
        <w:tc>
          <w:tcPr>
            <w:tcW w:w="2074" w:type="dxa"/>
            <w:tcBorders/>
          </w:tcPr>
          <w:p>
            <w:pPr>
              <w:spacing w:after="400" w:line="400" w:lineRule="exact"/>
            </w:pPr>
            <w:r>
              <w:rPr>
                <w:b w:val="true"/>
              </w:rPr>
              <w:t>事件时间</w:t>
            </w:r>
          </w:p>
        </w:tc>
        <w:tc>
          <w:tcPr>
            <w:tcW w:w="2074" w:type="dxa"/>
            <w:tcBorders/>
          </w:tcPr>
          <w:p>
            <w:pPr>
              <w:spacing w:after="400" w:line="400" w:lineRule="exact"/>
            </w:pPr>
            <w:r>
              <w:rPr>
                <w:b w:val="true"/>
              </w:rPr>
              <w:t>事件概述</w:t>
            </w:r>
          </w:p>
        </w:tc>
        <w:tc>
          <w:tcPr>
            <w:tcW w:w="2074" w:type="dxa"/>
            <w:tcBorders/>
          </w:tcPr>
          <w:p>
            <w:pPr>
              <w:spacing w:after="400" w:line="400" w:lineRule="exact"/>
            </w:pPr>
            <w:r>
              <w:rPr>
                <w:b w:val="true"/>
              </w:rPr>
              <w:t>类型</w:t>
            </w:r>
          </w:p>
        </w:tc>
      </w:tr>
      <w:tr>
        <w:tc>
          <w:tcPr>
            <w:tcW w:w="2074" w:type="dxa"/>
            <w:tcBorders/>
          </w:tcPr>
          <w:p>
            <w:pPr>
              <w:spacing w:after="400" w:line="400" w:lineRule="exact"/>
            </w:pPr>
            <w:r>
              <w:t>硒对自身免疫性甲状腺炎自身抗体的影响研究</w:t>
            </w:r>
          </w:p>
        </w:tc>
        <w:tc>
          <w:tcPr>
            <w:tcW w:w="2074" w:type="dxa"/>
            <w:tcBorders/>
          </w:tcPr>
          <w:p>
            <w:pPr>
              <w:spacing w:after="400" w:line="400" w:lineRule="exact"/>
            </w:pPr>
            <w:r>
              <w:t>2012-12-26</w:t>
            </w:r>
          </w:p>
        </w:tc>
        <w:tc>
          <w:tcPr>
            <w:tcW w:w="2074" w:type="dxa"/>
            <w:tcBorders/>
          </w:tcPr>
          <w:p>
            <w:pPr>
              <w:spacing w:after="400" w:line="400" w:lineRule="exact"/>
            </w:pPr>
            <w:r>
              <w:t>研究表明硒可以降低桥本氏甲状腺炎患者的自身抗体水平，减轻甲状腺破坏，延缓甲减进展。</w:t>
            </w:r>
          </w:p>
        </w:tc>
        <w:tc>
          <w:tcPr>
            <w:tcW w:w="2074" w:type="dxa"/>
            <w:tcBorders/>
          </w:tcPr>
          <w:p>
            <w:pPr>
              <w:spacing w:after="400" w:line="400" w:lineRule="exact"/>
            </w:pPr>
            <w:r>
              <w:t>医学研究</w:t>
            </w:r>
          </w:p>
        </w:tc>
      </w:tr>
      <w:tr>
        <w:tc>
          <w:tcPr>
            <w:tcW w:w="2074" w:type="dxa"/>
            <w:tcBorders/>
          </w:tcPr>
          <w:p>
            <w:pPr>
              <w:spacing w:after="400" w:line="400" w:lineRule="exact"/>
            </w:pPr>
            <w:r>
              <w:t>桥本氏甲状腺炎的发病率逐年增高</w:t>
            </w:r>
          </w:p>
        </w:tc>
        <w:tc>
          <w:tcPr>
            <w:tcW w:w="2074" w:type="dxa"/>
            <w:tcBorders/>
          </w:tcPr>
          <w:p>
            <w:pPr>
              <w:spacing w:after="400" w:line="400" w:lineRule="exact"/>
            </w:pPr>
            <w:r>
              <w:t>未明确</w:t>
            </w:r>
          </w:p>
        </w:tc>
        <w:tc>
          <w:tcPr>
            <w:tcW w:w="2074" w:type="dxa"/>
            <w:tcBorders/>
          </w:tcPr>
          <w:p>
            <w:pPr>
              <w:spacing w:after="400" w:line="400" w:lineRule="exact"/>
            </w:pPr>
            <w:r>
              <w:t>桥本氏甲状腺炎的发病率逐年上升，对人类健康构成严重威胁。</w:t>
            </w:r>
          </w:p>
        </w:tc>
        <w:tc>
          <w:tcPr>
            <w:tcW w:w="2074" w:type="dxa"/>
            <w:tcBorders/>
          </w:tcPr>
          <w:p>
            <w:pPr>
              <w:spacing w:after="400" w:line="400" w:lineRule="exact"/>
            </w:pPr>
            <w:r>
              <w:t>疾病流行趋势</w:t>
            </w:r>
          </w:p>
        </w:tc>
      </w:tr>
      <w:tr>
        <w:tc>
          <w:tcPr>
            <w:tcW w:w="2074" w:type="dxa"/>
            <w:tcBorders/>
          </w:tcPr>
          <w:p>
            <w:pPr>
              <w:spacing w:after="400" w:line="400" w:lineRule="exact"/>
            </w:pPr>
            <w:r>
              <w:t>硒与桥本氏甲状腺炎的相关性研究进展</w:t>
            </w:r>
          </w:p>
        </w:tc>
        <w:tc>
          <w:tcPr>
            <w:tcW w:w="2074" w:type="dxa"/>
            <w:tcBorders/>
          </w:tcPr>
          <w:p>
            <w:pPr>
              <w:spacing w:after="400" w:line="400" w:lineRule="exact"/>
            </w:pPr>
            <w:r>
              <w:t>2022-04-05</w:t>
            </w:r>
          </w:p>
        </w:tc>
        <w:tc>
          <w:tcPr>
            <w:tcW w:w="2074" w:type="dxa"/>
            <w:tcBorders/>
          </w:tcPr>
          <w:p>
            <w:pPr>
              <w:spacing w:after="400" w:line="400" w:lineRule="exact"/>
            </w:pPr>
            <w:r>
              <w:t>研究显示硒具有抗氧化特性，可能通过调节甲状腺内部氧化还原状态来保护甲状腺免受损伤。</w:t>
            </w:r>
          </w:p>
        </w:tc>
        <w:tc>
          <w:tcPr>
            <w:tcW w:w="2074" w:type="dxa"/>
            <w:tcBorders/>
          </w:tcPr>
          <w:p>
            <w:pPr>
              <w:spacing w:after="400" w:line="400" w:lineRule="exact"/>
            </w:pPr>
            <w:r>
              <w:t>医学研究进展</w:t>
            </w:r>
          </w:p>
        </w:tc>
      </w:tr>
      <w:tr>
        <w:tc>
          <w:tcPr>
            <w:tcW w:w="2074" w:type="dxa"/>
            <w:tcBorders/>
          </w:tcPr>
          <w:p>
            <w:pPr>
              <w:spacing w:after="400" w:line="400" w:lineRule="exact"/>
            </w:pPr>
            <w:r>
              <w:t>硒补充剂联合左甲状腺素治疗桥本氏甲状腺炎的疗效Meta分析</w:t>
            </w:r>
          </w:p>
        </w:tc>
        <w:tc>
          <w:tcPr>
            <w:tcW w:w="2074" w:type="dxa"/>
            <w:tcBorders/>
          </w:tcPr>
          <w:p>
            <w:pPr>
              <w:spacing w:after="400" w:line="400" w:lineRule="exact"/>
            </w:pPr>
            <w:r>
              <w:t>2020-06-01</w:t>
            </w:r>
          </w:p>
        </w:tc>
        <w:tc>
          <w:tcPr>
            <w:tcW w:w="2074" w:type="dxa"/>
            <w:tcBorders/>
          </w:tcPr>
          <w:p>
            <w:pPr>
              <w:spacing w:after="400" w:line="400" w:lineRule="exact"/>
            </w:pPr>
            <w:r>
              <w:t>Meta分析显示，硒补充剂联合左甲状腺素治疗桥本氏甲状腺炎可显著降低TPOAb和TGAb水平，延缓疾病进展。</w:t>
            </w:r>
          </w:p>
        </w:tc>
        <w:tc>
          <w:tcPr>
            <w:tcW w:w="2074" w:type="dxa"/>
            <w:tcBorders/>
          </w:tcPr>
          <w:p>
            <w:pPr>
              <w:spacing w:after="400" w:line="400" w:lineRule="exact"/>
            </w:pPr>
            <w:r>
              <w:t>医学研究结果</w:t>
            </w:r>
          </w:p>
        </w:tc>
      </w:tr>
      <w:tr>
        <w:tc>
          <w:tcPr>
            <w:tcW w:w="2074" w:type="dxa"/>
            <w:tcBorders/>
          </w:tcPr>
          <w:p>
            <w:pPr>
              <w:spacing w:after="400" w:line="400" w:lineRule="exact"/>
            </w:pPr>
            <w:r>
              <w:t>硒缺乏与桥本氏病的关系</w:t>
            </w:r>
          </w:p>
        </w:tc>
        <w:tc>
          <w:tcPr>
            <w:tcW w:w="2074" w:type="dxa"/>
            <w:tcBorders/>
          </w:tcPr>
          <w:p>
            <w:pPr>
              <w:spacing w:after="400" w:line="400" w:lineRule="exact"/>
            </w:pPr>
            <w:r>
              <w:t>2017-08-05</w:t>
            </w:r>
          </w:p>
        </w:tc>
        <w:tc>
          <w:tcPr>
            <w:tcW w:w="2074" w:type="dxa"/>
            <w:tcBorders/>
          </w:tcPr>
          <w:p>
            <w:pPr>
              <w:spacing w:after="400" w:line="400" w:lineRule="exact"/>
            </w:pPr>
            <w:r>
              <w:t>研究发现生活在土壤硒含量低的地区的人更容易患桥本氏病，因为硒缺乏导致谷胱甘肽过氧化酶失效。</w:t>
            </w:r>
          </w:p>
        </w:tc>
        <w:tc>
          <w:tcPr>
            <w:tcW w:w="2074" w:type="dxa"/>
            <w:tcBorders/>
          </w:tcPr>
          <w:p>
            <w:pPr>
              <w:spacing w:after="400" w:line="400" w:lineRule="exact"/>
            </w:pPr>
            <w:r>
              <w:t>疾病风险因素研究</w:t>
            </w:r>
          </w:p>
        </w:tc>
      </w:tr>
    </w:tbl>
    <w:p>
      <w:pPr>
        <w:pStyle w:val="Heading2"/>
        <w:spacing w:before="400" w:after="400" w:line="400" w:lineRule="atLeast"/>
      </w:pPr>
      <w:r>
        <w:t>相关组织</w:t>
      </w:r>
    </w:p>
    <w:tbl>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Grid>
        <w:gridCol w:w="2765"/>
        <w:gridCol w:w="2765"/>
        <w:gridCol w:w="2765"/>
      </w:tblGrid>
      <w:tr>
        <w:tc>
          <w:tcPr>
            <w:tcW w:w="2765" w:type="dxa"/>
            <w:tcBorders/>
          </w:tcPr>
          <w:p>
            <w:pPr>
              <w:spacing w:after="400" w:line="400" w:lineRule="exact"/>
            </w:pPr>
            <w:r>
              <w:rPr>
                <w:b w:val="true"/>
              </w:rPr>
              <w:t>组织名称</w:t>
            </w:r>
          </w:p>
        </w:tc>
        <w:tc>
          <w:tcPr>
            <w:tcW w:w="2765" w:type="dxa"/>
            <w:tcBorders/>
          </w:tcPr>
          <w:p>
            <w:pPr>
              <w:spacing w:after="400" w:line="400" w:lineRule="exact"/>
            </w:pPr>
            <w:r>
              <w:rPr>
                <w:b w:val="true"/>
              </w:rPr>
              <w:t>概述</w:t>
            </w:r>
          </w:p>
        </w:tc>
        <w:tc>
          <w:tcPr>
            <w:tcW w:w="2765" w:type="dxa"/>
            <w:tcBorders/>
          </w:tcPr>
          <w:p>
            <w:pPr>
              <w:spacing w:after="400" w:line="400" w:lineRule="exact"/>
            </w:pPr>
            <w:r>
              <w:rPr>
                <w:b w:val="true"/>
              </w:rPr>
              <w:t>类型</w:t>
            </w:r>
          </w:p>
        </w:tc>
      </w:tr>
      <w:tr>
        <w:tc>
          <w:tcPr>
            <w:tcW w:w="2765" w:type="dxa"/>
            <w:tcBorders/>
          </w:tcPr>
          <w:p>
            <w:pPr>
              <w:spacing w:after="400" w:line="400" w:lineRule="exact"/>
            </w:pPr>
            <w:r>
              <w:t>南京医科大学附属第一医院内分泌科</w:t>
            </w:r>
          </w:p>
        </w:tc>
        <w:tc>
          <w:tcPr>
            <w:tcW w:w="2765" w:type="dxa"/>
            <w:tcBorders/>
          </w:tcPr>
          <w:p>
            <w:pPr>
              <w:spacing w:after="400" w:line="400" w:lineRule="exact"/>
            </w:pPr>
            <w:r>
              <w:t>该科室参与了关于桥本氏甲状腺炎患者硒补充剂效果的研究。</w:t>
            </w:r>
          </w:p>
        </w:tc>
        <w:tc>
          <w:tcPr>
            <w:tcW w:w="2765" w:type="dxa"/>
            <w:tcBorders/>
          </w:tcPr>
          <w:p>
            <w:pPr>
              <w:spacing w:after="400" w:line="400" w:lineRule="exact"/>
            </w:pPr>
            <w:r>
              <w:t>医疗/研究机构</w:t>
            </w:r>
          </w:p>
        </w:tc>
      </w:tr>
    </w:tbl>
    <w:p>
      <w:pPr>
        <w:pStyle w:val="Heading2"/>
        <w:spacing w:before="400" w:after="400" w:line="400" w:lineRule="atLeast"/>
      </w:pPr>
      <w:r>
        <w:t>相关人物</w:t>
      </w:r>
    </w:p>
    <w:tbl>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Grid>
        <w:gridCol w:w="2765"/>
        <w:gridCol w:w="2765"/>
        <w:gridCol w:w="2765"/>
      </w:tblGrid>
      <w:tr>
        <w:tc>
          <w:tcPr>
            <w:tcW w:w="2765" w:type="dxa"/>
            <w:tcBorders/>
          </w:tcPr>
          <w:p>
            <w:pPr>
              <w:spacing w:after="400" w:line="400" w:lineRule="exact"/>
            </w:pPr>
            <w:r>
              <w:rPr>
                <w:b w:val="true"/>
              </w:rPr>
              <w:t>人物名称</w:t>
            </w:r>
          </w:p>
        </w:tc>
        <w:tc>
          <w:tcPr>
            <w:tcW w:w="2765" w:type="dxa"/>
            <w:tcBorders/>
          </w:tcPr>
          <w:p>
            <w:pPr>
              <w:spacing w:after="400" w:line="400" w:lineRule="exact"/>
            </w:pPr>
            <w:r>
              <w:rPr>
                <w:b w:val="true"/>
              </w:rPr>
              <w:t>概述</w:t>
            </w:r>
          </w:p>
        </w:tc>
        <w:tc>
          <w:tcPr>
            <w:tcW w:w="2765" w:type="dxa"/>
            <w:tcBorders/>
          </w:tcPr>
          <w:p>
            <w:pPr>
              <w:spacing w:after="400" w:line="400" w:lineRule="exact"/>
            </w:pPr>
            <w:r>
              <w:rPr>
                <w:b w:val="true"/>
              </w:rPr>
              <w:t>类型</w:t>
            </w:r>
          </w:p>
        </w:tc>
      </w:tr>
      <w:tr>
        <w:tc>
          <w:tcPr>
            <w:tcW w:w="2765" w:type="dxa"/>
            <w:tcBorders/>
          </w:tcPr>
          <w:p>
            <w:pPr>
              <w:spacing w:after="400" w:line="400" w:lineRule="exact"/>
            </w:pPr>
            <w:r>
              <w:t>廖二元</w:t>
            </w:r>
          </w:p>
        </w:tc>
        <w:tc>
          <w:tcPr>
            <w:tcW w:w="2765" w:type="dxa"/>
            <w:tcBorders/>
          </w:tcPr>
          <w:p>
            <w:pPr>
              <w:spacing w:after="400" w:line="400" w:lineRule="exact"/>
            </w:pPr>
            <w:r>
              <w:t>主编了《内分泌学》一书，该书中的诊断标准被用于桥本氏甲状腺炎的诊断。</w:t>
            </w:r>
          </w:p>
        </w:tc>
        <w:tc>
          <w:tcPr>
            <w:tcW w:w="2765" w:type="dxa"/>
            <w:tcBorders/>
          </w:tcPr>
          <w:p>
            <w:pPr>
              <w:spacing w:after="400" w:line="400" w:lineRule="exact"/>
            </w:pPr>
            <w:r>
              <w:t>学者/作者</w:t>
            </w:r>
          </w:p>
        </w:tc>
      </w:tr>
      <w:tr>
        <w:tc>
          <w:tcPr>
            <w:tcW w:w="2765" w:type="dxa"/>
            <w:tcBorders/>
          </w:tcPr>
          <w:p>
            <w:pPr>
              <w:spacing w:after="400" w:line="400" w:lineRule="exact"/>
            </w:pPr>
            <w:r>
              <w:t>肖勇</w:t>
            </w:r>
          </w:p>
        </w:tc>
        <w:tc>
          <w:tcPr>
            <w:tcW w:w="2765" w:type="dxa"/>
            <w:tcBorders/>
          </w:tcPr>
          <w:p>
            <w:pPr>
              <w:spacing w:after="400" w:line="400" w:lineRule="exact"/>
            </w:pPr>
            <w:r>
              <w:t>参与了关于硒补充剂联合左甲状腺素治疗桥本氏甲状腺炎的Meta分析研究。</w:t>
            </w:r>
          </w:p>
        </w:tc>
        <w:tc>
          <w:tcPr>
            <w:tcW w:w="2765" w:type="dxa"/>
            <w:tcBorders/>
          </w:tcPr>
          <w:p>
            <w:pPr>
              <w:spacing w:after="400" w:line="400" w:lineRule="exact"/>
            </w:pPr>
            <w:r>
              <w:t>研究人员</w:t>
            </w:r>
          </w:p>
        </w:tc>
      </w:tr>
      <w:tr>
        <w:tc>
          <w:tcPr>
            <w:tcW w:w="2765" w:type="dxa"/>
            <w:tcBorders/>
          </w:tcPr>
          <w:p>
            <w:pPr>
              <w:spacing w:after="400" w:line="400" w:lineRule="exact"/>
            </w:pPr>
            <w:r>
              <w:t>周翔</w:t>
            </w:r>
          </w:p>
        </w:tc>
        <w:tc>
          <w:tcPr>
            <w:tcW w:w="2765" w:type="dxa"/>
            <w:tcBorders/>
          </w:tcPr>
          <w:p>
            <w:pPr>
              <w:spacing w:after="400" w:line="400" w:lineRule="exact"/>
            </w:pPr>
            <w:r>
              <w:t>同肖勇一起独立进行筛选并提取有效数据，参与了关于硒补充剂联合左甲状腺素治疗桥本氏甲状腺炎的Meta分析研究。</w:t>
            </w:r>
          </w:p>
        </w:tc>
        <w:tc>
          <w:tcPr>
            <w:tcW w:w="2765" w:type="dxa"/>
            <w:tcBorders/>
          </w:tcPr>
          <w:p>
            <w:pPr>
              <w:spacing w:after="400" w:line="400" w:lineRule="exact"/>
            </w:pPr>
            <w:r>
              <w:t>研究人员</w:t>
            </w:r>
          </w:p>
        </w:tc>
      </w:tr>
    </w:tbl>
    <w:p>
      <w:pPr>
        <w:pStyle w:val="Heading2"/>
        <w:spacing w:before="400" w:after="400" w:line="400" w:lineRule="atLeast"/>
      </w:pPr>
      <w:r>
        <w:t>参考资料</w:t>
      </w:r>
    </w:p>
    <w:p>
      <w:pPr>
        <w:spacing w:after="200" w:line="400" w:lineRule="atLeast"/>
      </w:pPr>
      <w:hyperlink r:id="rId4">
        <w:r>
          <w:rPr>
            <w:rStyle w:val="DefaultParagraphFont"/>
            <w:color w:val="0563C1"/>
          </w:rPr>
          <w:t xml:space="preserve">1. 桥本氏甲减治疗的新发现！补硒或可改善症状！ [2025-05-08]</w:t>
        </w:r>
      </w:hyperlink>
    </w:p>
    <w:p>
      <w:pPr>
        <w:spacing w:after="200" w:line="400" w:lineRule="atLeast"/>
      </w:pPr>
      <w:hyperlink r:id="rId5">
        <w:r>
          <w:rPr>
            <w:rStyle w:val="DefaultParagraphFont"/>
            <w:color w:val="0563C1"/>
          </w:rPr>
          <w:t xml:space="preserve">2. 桥本甲状腺炎病情加重，可能是缺这些营养元素 [2024-09-02]</w:t>
        </w:r>
      </w:hyperlink>
    </w:p>
    <w:p>
      <w:pPr>
        <w:spacing w:after="200" w:line="400" w:lineRule="atLeast"/>
      </w:pPr>
      <w:hyperlink r:id="rId6">
        <w:r>
          <w:rPr>
            <w:rStyle w:val="DefaultParagraphFont"/>
            <w:color w:val="0563C1"/>
          </w:rPr>
          <w:t xml:space="preserve">3. 硒缺乏与桥本甲状腺炎 [2024-03]</w:t>
        </w:r>
      </w:hyperlink>
    </w:p>
    <w:p>
      <w:pPr>
        <w:spacing w:after="200" w:line="400" w:lineRule="atLeast"/>
      </w:pPr>
      <w:hyperlink r:id="rId7">
        <w:r>
          <w:rPr>
            <w:rStyle w:val="DefaultParagraphFont"/>
            <w:color w:val="0563C1"/>
          </w:rPr>
          <w:t xml:space="preserve">4. 桥本患者补硒这事儿，咱们来盘一下 [2019-04-18]</w:t>
        </w:r>
      </w:hyperlink>
    </w:p>
    <w:p>
      <w:pPr>
        <w:spacing w:after="200" w:line="400" w:lineRule="atLeast"/>
      </w:pPr>
      <w:hyperlink r:id="rId8">
        <w:r>
          <w:rPr>
            <w:rStyle w:val="DefaultParagraphFont"/>
            <w:color w:val="0563C1"/>
          </w:rPr>
          <w:t xml:space="preserve">5. 桥本氏甲状腺炎干预的真真假假 [2019-11-17]</w:t>
        </w:r>
      </w:hyperlink>
    </w:p>
    <w:p>
      <w:pPr>
        <w:spacing w:after="200" w:line="400" w:lineRule="atLeast"/>
      </w:pPr>
      <w:hyperlink r:id="rId9">
        <w:r>
          <w:rPr>
            <w:rStyle w:val="DefaultParagraphFont"/>
            <w:color w:val="0563C1"/>
          </w:rPr>
          <w:t xml:space="preserve">6. 补硒，桥本人群可能有效，但健康人不能乱补 [2024-01-19]</w:t>
        </w:r>
      </w:hyperlink>
    </w:p>
    <w:p>
      <w:pPr>
        <w:spacing w:after="200" w:line="400" w:lineRule="atLeast"/>
      </w:pPr>
      <w:hyperlink r:id="rId10">
        <w:r>
          <w:rPr>
            <w:rStyle w:val="DefaultParagraphFont"/>
            <w:color w:val="0563C1"/>
          </w:rPr>
          <w:t xml:space="preserve">7. 李斌武,张平,李玉丽等.硒对自身免疫性甲状腺炎自身抗体影响研究.鸡西矿业集团总医院,2012.</w:t>
        </w:r>
      </w:hyperlink>
    </w:p>
    <w:p>
      <w:pPr>
        <w:spacing w:after="200" w:line="400" w:lineRule="atLeast"/>
      </w:pPr>
      <w:hyperlink r:id="rId11">
        <w:r>
          <w:rPr>
            <w:rStyle w:val="DefaultParagraphFont"/>
            <w:color w:val="0563C1"/>
          </w:rPr>
          <w:t xml:space="preserve">8. 耿文倩,祁烁,陈晓珩等.硒与桥本甲状腺炎的相关性研究进展[J].中国医药导报,2022.</w:t>
        </w:r>
      </w:hyperlink>
    </w:p>
    <w:p>
      <w:pPr>
        <w:spacing w:after="200" w:line="400" w:lineRule="atLeast"/>
      </w:pPr>
      <w:hyperlink r:id="rId12">
        <w:r>
          <w:rPr>
            <w:rStyle w:val="DefaultParagraphFont"/>
            <w:color w:val="0563C1"/>
          </w:rPr>
          <w:t xml:space="preserve">9. Efficacy of selenium supplementation for patients with Graves' hyperthyroidism during methimazole treatment: protocol for a systematic review and meta-analysis</w:t>
        </w:r>
      </w:hyperlink>
    </w:p>
    <w:p>
      <w:pPr>
        <w:spacing w:after="200" w:line="400" w:lineRule="atLeast"/>
      </w:pPr>
      <w:hyperlink r:id="rId13">
        <w:r>
          <w:rPr>
            <w:rStyle w:val="DefaultParagraphFont"/>
            <w:color w:val="0563C1"/>
          </w:rPr>
          <w:t xml:space="preserve">10. 甲状腺患者营养补充指南 [2017-08-05]</w:t>
        </w:r>
      </w:hyperlink>
    </w:p>
    <w:p>
      <w:pPr>
        <w:spacing w:after="200" w:line="400" w:lineRule="atLeast"/>
      </w:pPr>
      <w:hyperlink r:id="rId14">
        <w:r>
          <w:rPr>
            <w:rStyle w:val="DefaultParagraphFont"/>
            <w:color w:val="0563C1"/>
          </w:rPr>
          <w:t xml:space="preserve">11. 周路路.硒补充治疗对慢性淋巴细胞性甲状腺炎的疗效及机制的研究[D].蚌埠医学院,2016.</w:t>
        </w:r>
      </w:hyperlink>
    </w:p>
    <w:p>
      <w:pPr>
        <w:spacing w:after="200" w:line="400" w:lineRule="atLeast"/>
      </w:pPr>
      <w:hyperlink r:id="rId15">
        <w:r>
          <w:rPr>
            <w:rStyle w:val="DefaultParagraphFont"/>
            <w:color w:val="0563C1"/>
          </w:rPr>
          <w:t xml:space="preserve">12. 桥本氏甲状腺炎，补硒有用吗？ [2022-11-26]</w:t>
        </w:r>
      </w:hyperlink>
    </w:p>
    <w:p>
      <w:pPr>
        <w:spacing w:after="200" w:line="400" w:lineRule="atLeast"/>
      </w:pPr>
      <w:hyperlink r:id="rId16">
        <w:r>
          <w:rPr>
            <w:rStyle w:val="DefaultParagraphFont"/>
            <w:color w:val="0563C1"/>
          </w:rPr>
          <w:t xml:space="preserve">13. 桥本氏甲状腺炎的自我疗愈 [2022-03-01]</w:t>
        </w:r>
      </w:hyperlink>
    </w:p>
    <w:p>
      <w:pPr>
        <w:spacing w:after="200" w:line="400" w:lineRule="atLeast"/>
      </w:pPr>
      <w:hyperlink r:id="rId17">
        <w:r>
          <w:rPr>
            <w:rStyle w:val="DefaultParagraphFont"/>
            <w:color w:val="0563C1"/>
          </w:rPr>
          <w:t xml:space="preserve">14. 肖勇.硒补充剂联合左甲状腺素治疗桥本氏甲状腺炎疗效的Meta分析[D].南昌大学,2020.</w:t>
        </w:r>
      </w:hyperlink>
    </w:p>
    <w:p>
      <w:pPr>
        <w:spacing w:after="200" w:line="400" w:lineRule="atLeast"/>
      </w:pPr>
      <w:hyperlink r:id="rId18">
        <w:r>
          <w:rPr>
            <w:rStyle w:val="DefaultParagraphFont"/>
            <w:color w:val="0563C1"/>
          </w:rPr>
          <w:t xml:space="preserve">15. 屈春梅,李颖,陈书梅.补硒治疗对HT患者甲状腺功能、免疫应答及氧化应激的影响[J].海南医学院学报,2019.</w:t>
        </w:r>
      </w:hyperlink>
    </w:p>
    <w:sectPr>
      <w:headerReference w:type="default" r:id="rId19"/>
      <w:footerReference w:type="default" r:id="rId20"/>
      <w:pgSz w:w="11906" w:h="16838"/>
      <w:pgMar w:top="1440" w:right="1800" w:bottom="1440" w:left="1800" w:header="851" w:footer="992"/>
      <w:cols w:space="425"/>
      <w:docGrid w:type="lines" w:linePitch="312"/>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w15="http://schemas.microsoft.com/office/word/2012/wordml" xmlns:a14="http://schemas.microsoft.com/office/drawing/2010/main" xmlns:sl="http://schemas.openxmlformats.org/schemaLibrary/2006/main" xmlns:wne="http://schemas.microsoft.com/office/word/2006/wordml" xmlns:cdr="http://schemas.openxmlformats.org/drawingml/2006/chartDrawing" xmlns:c="http://schemas.openxmlformats.org/drawingml/2006/chart"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r>
      <w:rPr>
        <w:rFonts/>
        <w:color w:val="808080"/>
        <w:sz w:val="18"/>
      </w:rPr>
      <w:t>内容为AI生成，可能不准确，请谨慎参考</w:t>
    </w:r>
  </w:p>
</w:ftr>
</file>

<file path=word/header.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w15="http://schemas.microsoft.com/office/word/2012/wordml" xmlns:a14="http://schemas.microsoft.com/office/drawing/2010/main" xmlns:sl="http://schemas.openxmlformats.org/schemaLibrary/2006/main" xmlns:wne="http://schemas.microsoft.com/office/word/2006/wordml" xmlns:cdr="http://schemas.openxmlformats.org/drawingml/2006/chartDrawing" xmlns:c="http://schemas.openxmlformats.org/drawingml/2006/chart"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jc w:val="right"/>
    </w:pPr>
    <w:r>
      <w:drawing>
        <wp:inline distT="0" distB="0" distL="0" distR="0">
          <wp:extent cx="1336798" cy="320832"/>
          <wp:effectExtent l="0" t="0" r="0" b="0"/>
          <wp:docPr id="7608" name="image" descr="image"/>
          <wp:cNvGraphicFramePr>
            <a:graphicFrameLocks noChangeAspect="true"/>
          </wp:cNvGraphicFramePr>
          <a:graphic>
            <a:graphicData uri="http://schemas.openxmlformats.org/drawingml/2006/picture">
              <pic:pic>
                <pic:nvPicPr>
                  <pic:cNvPr id="15216" name="image"/>
                  <pic:cNvPicPr/>
                </pic:nvPicPr>
                <pic:blipFill>
                  <a:blip r:embed="rId1"/>
                  <a:stretch>
                    <a:fillRect/>
                  </a:stretch>
                </pic:blipFill>
                <pic:spPr>
                  <a:xfrm>
                    <a:off x="0" y="0"/>
                    <a:ext cx="3571875" cy="857250"/>
                  </a:xfrm>
                  <a:prstGeom prst="rect">
                    <a:avLst/>
                  </a:prstGeom>
                </pic:spPr>
              </pic:pic>
            </a:graphicData>
          </a:graphic>
        </wp:inline>
      </w:drawing>
    </w:r>
  </w:p>
</w:hd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w15="http://schemas.microsoft.com/office/word/2012/wordml" xmlns:a14="http://schemas.microsoft.com/office/drawing/2010/main" xmlns:sl="http://schemas.openxmlformats.org/schemaLibrary/2006/main" xmlns:wne="http://schemas.microsoft.com/office/word/2006/wordml" xmlns:cdr="http://schemas.openxmlformats.org/drawingml/2006/chartDrawing" xmlns:c="http://schemas.openxmlformats.org/drawingml/2006/chart"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abstractNum w:abstractNumId="0">
    <w:multiLevelType w:val="multilevel"/>
    <w:lvl w:ilvl="0">
      <w:start w:val="1"/>
      <w:numFmt w:val="decimal"/>
      <w:suff w:val="nothing"/>
      <w:lvlText w:val="%1."/>
    </w:lvl>
    <w:lvl w:ilvl="1">
      <w:start w:val="1"/>
      <w:numFmt w:val="decimal"/>
      <w:suff w:val="nothing"/>
      <w:lvlText w:val="%1.%2."/>
    </w:lvl>
    <w:lvl w:ilvl="2">
      <w:start w:val="1"/>
      <w:numFmt w:val="decimal"/>
      <w:suff w:val="nothing"/>
      <w:lvlText w:val="%1.%2.%3."/>
    </w:lvl>
    <w:lvl w:ilvl="3">
      <w:start w:val="1"/>
      <w:numFmt w:val="decimal"/>
      <w:suff w:val="nothing"/>
      <w:lvlText w:val="%1.%2.%3.%4."/>
    </w:lvl>
    <w:lvl w:ilvl="4">
      <w:start w:val="1"/>
      <w:numFmt w:val="decimal"/>
      <w:suff w:val="nothing"/>
      <w:lvlText w:val="%1.%2.%3.%4.%5."/>
    </w:lvl>
    <w:lvl w:ilvl="5">
      <w:start w:val="1"/>
      <w:numFmt w:val="decimal"/>
      <w:suff w:val="nothing"/>
      <w:lvlText w:val="%1.%2.%3.%4.%5.%6."/>
    </w:lvl>
    <w:lvl w:ilvl="6">
      <w:start w:val="1"/>
      <w:numFmt w:val="decimal"/>
      <w:suff w:val="nothing"/>
      <w:lvlText w:val="%1.%2.%3.%4.%5.%6.%7."/>
    </w:lvl>
    <w:lvl w:ilvl="7">
      <w:start w:val="1"/>
      <w:numFmt w:val="decimal"/>
      <w:suff w:val="nothing"/>
      <w:lvlText w:val="%1.%2.%3.%4.%5.%6.%7.%8."/>
    </w:lvl>
    <w:lvl w:ilvl="8">
      <w:start w:val="1"/>
      <w:numFmt w:val="decimal"/>
      <w:suff w:val="nothing"/>
      <w:lvlText w:val="%1.%2.%3.%4.%5.%6.%7.%8.%9."/>
    </w:lvl>
  </w:abstractNum>
  <w:abstractNum w:abstractNumId="1">
    <w:multiLevelType w:val="multilevel"/>
    <w:lvl w:ilvl="0">
      <w:start w:val="1"/>
      <w:numFmt w:val="decimal"/>
      <w:suff w:val="nothing"/>
      <w:lvlText w:val="%1."/>
    </w:lvl>
    <w:lvl w:ilvl="1">
      <w:start w:val="1"/>
      <w:numFmt w:val="decimal"/>
      <w:suff w:val="nothing"/>
      <w:lvlText w:val="%1.%2."/>
    </w:lvl>
    <w:lvl w:ilvl="2">
      <w:start w:val="1"/>
      <w:numFmt w:val="decimal"/>
      <w:suff w:val="nothing"/>
      <w:lvlText w:val="%1.%2.%3."/>
    </w:lvl>
    <w:lvl w:ilvl="3">
      <w:start w:val="1"/>
      <w:numFmt w:val="decimal"/>
      <w:suff w:val="nothing"/>
      <w:lvlText w:val="%1.%2.%3.%4."/>
    </w:lvl>
    <w:lvl w:ilvl="4">
      <w:start w:val="1"/>
      <w:numFmt w:val="decimal"/>
      <w:suff w:val="nothing"/>
      <w:lvlText w:val="%1.%2.%3.%4.%5."/>
    </w:lvl>
    <w:lvl w:ilvl="5">
      <w:start w:val="1"/>
      <w:numFmt w:val="decimal"/>
      <w:suff w:val="nothing"/>
      <w:lvlText w:val="%1.%2.%3.%4.%5.%6."/>
    </w:lvl>
    <w:lvl w:ilvl="6">
      <w:start w:val="1"/>
      <w:numFmt w:val="decimal"/>
      <w:suff w:val="nothing"/>
      <w:lvlText w:val="%1.%2.%3.%4.%5.%6.%7."/>
    </w:lvl>
    <w:lvl w:ilvl="7">
      <w:start w:val="1"/>
      <w:numFmt w:val="decimal"/>
      <w:suff w:val="nothing"/>
      <w:lvlText w:val="%1.%2.%3.%4.%5.%6.%7.%8."/>
    </w:lvl>
    <w:lvl w:ilvl="8">
      <w:start w:val="1"/>
      <w:numFmt w:val="decimal"/>
      <w:suff w:val="nothing"/>
      <w:lvlText w:val="%1.%2.%3.%4.%5.%6.%7.%8.%9."/>
    </w:lvl>
  </w:abstractNum>
  <w:abstractNum w:abstractNumId="2">
    <w:multiLevelType w:val="multilevel"/>
    <w:lvl w:ilvl="0">
      <w:start w:val="1"/>
      <w:numFmt w:val="bullet"/>
      <w:suff w:val="nothing"/>
      <w:lvlText w:val=""/>
      <w:rPr>
        <w:rFonts w:hint="default" w:ascii="Wingdings" w:hAnsi="Wingdings"/>
      </w:rPr>
    </w:lvl>
    <w:lvl w:ilvl="1">
      <w:start w:val="1"/>
      <w:numFmt w:val="bullet"/>
      <w:suff w:val="nothing"/>
      <w:lvlText w:val=""/>
      <w:pPr>
        <w:ind w:left="210"/>
      </w:pPr>
      <w:rPr>
        <w:rFonts w:hint="default" w:ascii="Wingdings" w:hAnsi="Wingdings"/>
      </w:rPr>
    </w:lvl>
    <w:lvl w:ilvl="2">
      <w:start w:val="1"/>
      <w:numFmt w:val="bullet"/>
      <w:suff w:val="nothing"/>
      <w:lvlText w:val=""/>
      <w:pPr>
        <w:ind w:left="420"/>
      </w:pPr>
      <w:rPr>
        <w:rFonts w:hint="default" w:ascii="Wingdings" w:hAnsi="Wingdings"/>
      </w:rPr>
    </w:lvl>
    <w:lvl w:ilvl="3">
      <w:start w:val="1"/>
      <w:numFmt w:val="bullet"/>
      <w:suff w:val="nothing"/>
      <w:lvlText w:val=""/>
      <w:pPr>
        <w:ind w:left="630"/>
      </w:pPr>
      <w:rPr>
        <w:rFonts w:hint="default" w:ascii="Wingdings" w:hAnsi="Wingdings"/>
      </w:rPr>
    </w:lvl>
    <w:lvl w:ilvl="4">
      <w:start w:val="1"/>
      <w:numFmt w:val="bullet"/>
      <w:suff w:val="nothing"/>
      <w:lvlText w:val=""/>
      <w:pPr>
        <w:ind w:left="840"/>
      </w:pPr>
      <w:rPr>
        <w:rFonts w:hint="default" w:ascii="Wingdings" w:hAnsi="Wingdings"/>
      </w:rPr>
    </w:lvl>
    <w:lvl w:ilvl="5">
      <w:start w:val="1"/>
      <w:numFmt w:val="bullet"/>
      <w:suff w:val="nothing"/>
      <w:lvlText w:val=""/>
      <w:pPr>
        <w:ind w:left="1050"/>
      </w:pPr>
      <w:rPr>
        <w:rFonts w:hint="default" w:ascii="Wingdings" w:hAnsi="Wingdings"/>
      </w:rPr>
    </w:lvl>
    <w:lvl w:ilvl="6">
      <w:start w:val="1"/>
      <w:numFmt w:val="bullet"/>
      <w:suff w:val="nothing"/>
      <w:lvlText w:val=""/>
      <w:pPr>
        <w:ind w:left="1260"/>
      </w:pPr>
      <w:rPr>
        <w:rFonts w:hint="default" w:ascii="Wingdings" w:hAnsi="Wingdings"/>
      </w:rPr>
    </w:lvl>
    <w:lvl w:ilvl="7">
      <w:start w:val="1"/>
      <w:numFmt w:val="bullet"/>
      <w:suff w:val="nothing"/>
      <w:lvlText w:val=""/>
      <w:pPr>
        <w:ind w:left="1470"/>
      </w:pPr>
      <w:rPr>
        <w:rFonts w:hint="default" w:ascii="Wingdings" w:hAnsi="Wingdings"/>
      </w:rPr>
    </w:lvl>
    <w:lvl w:ilvl="8">
      <w:start w:val="1"/>
      <w:numFmt w:val="bullet"/>
      <w:suff w:val="nothing"/>
      <w:lvlText w:val=""/>
      <w:pPr>
        <w:ind w:left="1680"/>
      </w:pPr>
      <w:rPr>
        <w:rFonts w:hint="default" w:ascii="Wingdings" w:hAnsi="Wingdings"/>
      </w:rPr>
    </w:lvl>
  </w:abstractNum>
  <w:num w:numId="1">
    <w:abstractNumId w:val="2"/>
  </w:num>
  <w:num w:numId="2">
    <w:abstractNumId w:val="2"/>
  </w:num>
  <w:num w:numId="3">
    <w:abstractNumId w:val="2"/>
  </w:num>
  <w:num w:numId="4">
    <w:abstractNumId w:val="2"/>
  </w:num>
  <w:num w:numId="5">
    <w:abstractNumId w:val="1"/>
  </w:num>
  <w:num w:numId="6">
    <w:abstractNumId w:val="0"/>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w15="http://schemas.microsoft.com/office/word/2012/wordml" xmlns:a14="http://schemas.microsoft.com/office/drawing/2010/main" xmlns:sl="http://schemas.openxmlformats.org/schemaLibrary/2006/main" xmlns:wne="http://schemas.microsoft.com/office/word/2006/wordml" xmlns:cdr="http://schemas.openxmlformats.org/drawingml/2006/chartDrawing" xmlns:c="http://schemas.openxmlformats.org/drawingml/2006/chart"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w15="http://schemas.microsoft.com/office/word/2012/wordml" xmlns:a14="http://schemas.microsoft.com/office/drawing/2010/main" xmlns:sl="http://schemas.openxmlformats.org/schemaLibrary/2006/main" xmlns:wne="http://schemas.microsoft.com/office/word/2006/wordml" xmlns:cdr="http://schemas.openxmlformats.org/drawingml/2006/chartDrawing" xmlns:c="http://schemas.openxmlformats.org/drawingml/2006/chart"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sz w:val="21"/>
      </w:rPr>
    </w:r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mp.weixin.qq.com/s?__biz=MzI0OTE2NjY1Ng%3D%3D&amp;mid=2651697526&amp;idx=1&amp;sn=0257c9568d3fa7ba6e93959c280c4fd8&amp;chksm=f3fb8227c33a144257004f81812d88157324ae212284026e1cdfdb212b4799ae90c1596ff10c&amp;scene=27" Type="http://schemas.openxmlformats.org/officeDocument/2006/relationships/hyperlink" Id="rId4"/>
    <Relationship TargetMode="External" Target="https://mp.weixin.qq.com/s?__biz=MzA3MjY3MDEwOQ%3D%3D&amp;mid=2652362265&amp;idx=1&amp;sn=2d7c9b5f8b8455827140d554b413818e&amp;chksm=8509ae9c3fd1ea2b4103b034fbd043dcfd29d820f77c003ee50ba4631eb119872c0046c6ec7f&amp;scene=27" Type="http://schemas.openxmlformats.org/officeDocument/2006/relationships/hyperlink" Id="rId5"/>
    <Relationship TargetMode="External" Target="https://mp.weixin.qq.com/s?__biz=Mzg5MTk3NTkzNg%3D%3D&amp;mid=2247523931&amp;idx=3&amp;sn=1972cd757cc6e38611adc4010a55827c&amp;chksm=ce943192a0fef4529fd92fe6a2eb004fa5652c5891855bbc959032ee57292d11f2e1b74c148d&amp;scene=27" Type="http://schemas.openxmlformats.org/officeDocument/2006/relationships/hyperlink" Id="rId6"/>
    <Relationship TargetMode="External" Target="https://mp.weixin.qq.com/s?__biz=MzU2NTU0Nzc0Ng%3D%3D&amp;mid=2247506163&amp;idx=1&amp;sn=ca949520ba3244096e47fcf4a0836c85&amp;chksm=fcb89f7ecbcf16687512ad59c35ae3ec7b175a6b4622824c1942aefe1a916472b640ad9c9efb&amp;scene=27" Type="http://schemas.openxmlformats.org/officeDocument/2006/relationships/hyperlink" Id="rId7"/>
    <Relationship TargetMode="External" Target="https://zhuanlan.zhihu.com/p/92299389" Type="http://schemas.openxmlformats.org/officeDocument/2006/relationships/hyperlink" Id="rId8"/>
    <Relationship TargetMode="External" Target="https://zhuanlan.zhihu.com/p/678793111" Type="http://schemas.openxmlformats.org/officeDocument/2006/relationships/hyperlink" Id="rId9"/>
    <Relationship TargetMode="External" Target="https://s.wanfangdata.com.cn/paper?q=%E7%A1%92%E5%AF%B9%E8%87%AA%E8%BA%AB%E5%85%8D%E7%96%AB%E6%80%A7%E7%94%B2%E7%8A%B6%E8%85%BA%E7%82%8E%E8%87%AA%E8%BA%AB%E6%8A%97%E4%BD%93%E5%BD%B1%E5%93%8D%E7%A0%94%E7%A9%B6" Type="http://schemas.openxmlformats.org/officeDocument/2006/relationships/hyperlink" Id="rId10"/>
    <Relationship TargetMode="External" Target="https://s.wanfangdata.com.cn/paper?q=%E7%A1%92%E4%B8%8E%E6%A1%A5%E6%9C%AC%E7%94%B2%E7%8A%B6%E8%85%BA%E7%82%8E%E7%9A%84%E7%9B%B8%E5%85%B3%E6%80%A7%E7%A0%94%E7%A9%B6%E8%BF%9B%E5%B1%95" Type="http://schemas.openxmlformats.org/officeDocument/2006/relationships/hyperlink" Id="rId11"/>
    <Relationship TargetMode="External" Target="https://bmjopen.bmj.com/content/bmjopen/14/9/e081302.full.pdf" Type="http://schemas.openxmlformats.org/officeDocument/2006/relationships/hyperlink" Id="rId12"/>
    <Relationship TargetMode="External" Target="https://mp.weixin.qq.com/s?__biz=MzIzMDE5OTE0OQ%3D%3D&amp;mid=2652268063&amp;idx=1&amp;sn=28a735a7789ed60a86818502cdf38d34&amp;chksm=f355dc1dc422550bddec0cdff89fbdb4e81f93fafcb3d0757e148fb1c87f16c0f7fcd125b525&amp;scene=27" Type="http://schemas.openxmlformats.org/officeDocument/2006/relationships/hyperlink" Id="rId13"/>
    <Relationship TargetMode="External" Target="https://s.wanfangdata.com.cn/paper?q=%E7%A1%92%E8%A1%A5%E5%85%85%E6%B2%BB%E7%96%97%E5%AF%B9%E6%85%A2%E6%80%A7%E6%B7%8B%E5%B7%B4%E7%BB%86%E8%83%9E%E6%80%A7%E7%94%B2%E7%8A%B6%E8%85%BA%E7%82%8E%E7%9A%84%E7%96%97%E6%95%88%E5%8F%8A%E6%9C%BA%E5%88%B6%E7%9A%84%E7%A0%94%E7%A9%B6" Type="http://schemas.openxmlformats.org/officeDocument/2006/relationships/hyperlink" Id="rId14"/>
    <Relationship TargetMode="External" Target="https://mp.weixin.qq.com/s?__biz=MzkyODI3OTQxMg%3D%3D&amp;mid=2247486958&amp;idx=1&amp;sn=1e7024d87059a1ace34736e6fe952049&amp;chksm=c21a73f5f56dfae364b1f468707a2c3007cbd1660f9875f94afd1683e246e89b18195771e469&amp;scene=27" Type="http://schemas.openxmlformats.org/officeDocument/2006/relationships/hyperlink" Id="rId15"/>
    <Relationship TargetMode="External" Target="https://zhuanlan.zhihu.com/p/648289368" Type="http://schemas.openxmlformats.org/officeDocument/2006/relationships/hyperlink" Id="rId16"/>
    <Relationship TargetMode="External" Target="https://s.wanfangdata.com.cn/paper?q=%E7%A1%92%E8%A1%A5%E5%85%85%E5%89%82%E8%81%94%E5%90%88%E5%B7%A6%E7%94%B2%E7%8A%B6%E8%85%BA%E7%B4%A0%E6%B2%BB%E7%96%97%E6%A1%A5%E6%9C%AC%E6%B0%8F%E7%94%B2%E7%8A%B6%E8%85%BA%E7%82%8E%E7%96%97%E6%95%88%E7%9A%84Meta%E5%88%86%E6%9E%90" Type="http://schemas.openxmlformats.org/officeDocument/2006/relationships/hyperlink" Id="rId17"/>
    <Relationship TargetMode="External" Target="https://s.wanfangdata.com.cn/paper?q=%E8%A1%A5%E7%A1%92%E6%B2%BB%E7%96%97%E5%AF%B9HT%E6%82%A3%E8%80%85%E7%94%B2%E7%8A%B6%E8%85%BA%E5%8A%9F%E8%83%BD%E3%80%81%E5%85%8D%E7%96%AB%E5%BA%94%E7%AD%94%E5%8F%8A%E6%B0%A7%E5%8C%96%E5%BA%94%E6%BF%80%E7%9A%84%E5%BD%B1%E5%93%8D" Type="http://schemas.openxmlformats.org/officeDocument/2006/relationships/hyperlink" Id="rId18"/>
    <Relationship Target="header.xml" Type="http://schemas.openxmlformats.org/officeDocument/2006/relationships/header" Id="rId19"/>
    <Relationship Target="footer.xml" Type="http://schemas.openxmlformats.org/officeDocument/2006/relationships/footer" Id="rId20"/>
</Relationships>

</file>

<file path=word/_rels/header.xml.rels><?xml version="1.0" encoding="UTF-8" standalone="yes"?>
<Relationships xmlns="http://schemas.openxmlformats.org/package/2006/relationships">
    <Relationship Target="media/header_image_rId1.png" Type="http://schemas.openxmlformats.org/officeDocument/2006/relationships/image" Id="rId1"/>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