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>Jod-Basedow效应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以下基于最新研究证据的系统阐述，全面解析</w:t>
      </w:r>
      <w:r>
        <w:rPr>
          <w:b w:val="true"/>
        </w:rPr>
        <w:t>Jod-Basedow效应</w:t>
      </w:r>
      <w:r>
        <w:t>（碘诱导性甲状腺功能亢进）的机制、临床特征及管理策略：</w:t>
      </w:r>
    </w:p>
    <w:p>
      <w:pPr>
        <w:spacing w:after="400" w:line="400" w:lineRule="atLeast"/>
      </w:pPr>
      <w:r>
        <w:rPr>
          <w:b/>
          <w:sz w:val="30"/>
        </w:rPr>
        <w:t>一、定义与核心机制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基本概念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定义</w:t>
      </w:r>
      <w:r>
        <w:t>：Jod-Basedow效应指</w:t>
      </w:r>
      <w:r>
        <w:rPr>
          <w:b w:val="true"/>
        </w:rPr>
        <w:t>外源性碘负荷诱发甲状腺激素过度合成</w:t>
      </w:r>
      <w:r>
        <w:t xml:space="preserve">，导致甲状腺功能亢进的病理现象，属碘源性甲亢（Iodine-Induced Hyperthyroidism, IIH）的亚型[4][8]。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命名来源</w:t>
      </w:r>
      <w:r>
        <w:t>：19世纪德国医生Jod（碘）和Basedow（Graves病描述者）组合命名[7]。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与Wolff-Chaikoff效应的关系</w:t>
      </w:r>
      <w:r>
        <w:t>：</w:t>
      </w:r>
    </w:p>
    <w:p>
      <w:pPr>
        <w:numPr>
          <w:ilvl w:val="-1"/>
          <w:numId w:val="12"/>
        </w:numPr>
        <w:spacing w:after="400" w:line="400" w:lineRule="atLeast"/>
      </w:pPr>
      <w:r>
        <w:rPr>
          <w:b w:val="true"/>
        </w:rPr>
        <w:t>对立统一</w:t>
      </w:r>
      <w:r>
        <w:t>：二者同为甲状腺对碘超载的应答，但结局相反：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效应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机制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结局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Wolff-Chaikoff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碘抑制TPO活性 → 激素合成↓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甲减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Jod-Basedow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自调节缺陷 → 碘被异常利用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甲亢</w:t>
            </w:r>
          </w:p>
        </w:tc>
      </w:tr>
    </w:tbl>
    <w:p>
      <w:pPr>
        <w:numPr>
          <w:ilvl w:val="-1"/>
          <w:numId w:val="17"/>
        </w:numPr>
        <w:spacing w:after="400" w:line="400" w:lineRule="atLeast"/>
      </w:pPr>
      <w:r>
        <w:rPr>
          <w:b w:val="true"/>
        </w:rPr>
        <w:t>转化条件</w:t>
      </w:r>
      <w:r>
        <w:t>：取决于甲状腺基础状态（见下表）[8][12]。</w:t>
      </w:r>
    </w:p>
    <w:p>
      <w:pPr>
        <w:spacing w:before="400"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病理生理机制</w:t>
      </w:r>
    </w:p>
    <w:p>
      <w:pPr>
        <w:spacing w:after="400" w:line="400" w:lineRule="atLeast"/>
      </w:pPr>
      <w:r>
        <w:rPr>
          <w:b/>
          <w:sz w:val="24"/>
        </w:rPr>
        <w:t xml:space="preserve">（1） </w:t>
      </w:r>
      <w:r>
        <w:rPr>
          <w:b w:val="true"/>
          <w:sz w:val="24"/>
        </w:rPr>
        <w:t>自调节失灵（核心缺陷）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正常应答</w:t>
      </w:r>
      <w:r>
        <w:t xml:space="preserve">：碘超载 → 触发Wolff-Chaikoff效应 → 短暂抑制合成 → 逃逸恢复[3][14]。</w:t>
      </w:r>
    </w:p>
    <w:p>
      <w:pPr>
        <w:spacing w:after="400" w:line="400" w:lineRule="atLeast"/>
        <w:jc w:val="center"/>
      </w:pPr>
      <w:r>
        <w:drawing>
          <wp:inline distT="0" distB="0" distL="0" distR="0">
            <wp:extent cx="5274310" cy="2867828"/>
            <wp:effectExtent l="0" t="0" r="0" b="0"/>
            <wp:docPr id="1" name="图片1" descr="metapro添加图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图片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Jod-Basedow发生关键</w:t>
      </w:r>
      <w:r>
        <w:t>：</w:t>
      </w:r>
    </w:p>
    <w:p>
      <w:pPr>
        <w:numPr>
          <w:ilvl w:val="-1"/>
          <w:numId w:val="15"/>
        </w:numPr>
        <w:spacing w:after="400" w:line="400" w:lineRule="atLeast"/>
      </w:pPr>
      <w:r>
        <w:rPr>
          <w:b w:val="true"/>
        </w:rPr>
        <w:t>甲状腺自主性组织存在</w:t>
      </w:r>
      <w:r>
        <w:t>：结节/病变组织缺乏正常反馈抑制，持续利用碘合成激素[5][15]。</w:t>
      </w:r>
    </w:p>
    <w:p>
      <w:pPr>
        <w:numPr>
          <w:ilvl w:val="-1"/>
          <w:numId w:val="15"/>
        </w:numPr>
        <w:spacing w:after="400" w:line="400" w:lineRule="atLeast"/>
      </w:pPr>
      <w:r>
        <w:rPr>
          <w:b w:val="true"/>
        </w:rPr>
        <w:t>逃逸加速</w:t>
      </w:r>
      <w:r>
        <w:t xml:space="preserve">：NIS（钠碘同向转运体）下调失败 → 碘持续摄入 → 激素过量生成[8][13]。</w:t>
      </w:r>
    </w:p>
    <w:p>
      <w:pPr>
        <w:spacing w:after="400" w:line="400" w:lineRule="atLeast"/>
      </w:pPr>
      <w:r>
        <w:rPr>
          <w:b/>
          <w:sz w:val="24"/>
        </w:rPr>
        <w:t>（2）</w:t>
      </w:r>
      <w:r>
        <w:rPr>
          <w:b w:val="true"/>
          <w:sz w:val="24"/>
        </w:rPr>
        <w:t>分子触发环节</w:t>
      </w:r>
    </w:p>
    <w:p>
      <w:r>
        <w:t xml:space="preserve">graph LR
</w:t>
      </w:r>
    </w:p>
    <w:p>
      <w:r>
        <w:t xml:space="preserve">A[外源性碘负荷] --&gt; B[NIS介导碘摄入]
</w:t>
      </w:r>
    </w:p>
    <w:p>
      <w:r>
        <w:t xml:space="preserve">B --&gt; C{甲状腺基础状态？}
</w:t>
      </w:r>
    </w:p>
    <w:p>
      <w:r>
        <w:t xml:space="preserve">C --&gt;|正常| D[激活Wolff-Chaikoff效应 → 抑制合成]
</w:t>
      </w:r>
    </w:p>
    <w:p>
      <w:r>
        <w:t xml:space="preserve">C --&gt;|存在自主结节/Graves病| E[自调节缺陷]
</w:t>
      </w:r>
    </w:p>
    <w:p>
      <w:r>
        <w:t xml:space="preserve">E --&gt; F[碘作为底物过量合成T3/T4]
</w:t>
      </w:r>
    </w:p>
    <w:p>
      <w:r>
        <w:t xml:space="preserve">F --&gt; G[甲状腺激素释放入血 → 甲亢]
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关键分子事件</w:t>
      </w:r>
      <w:r>
        <w:rPr>
          <w:color w:val="7F7F7F" w:themeColor="text1" w:themeTint="80"/>
        </w:rPr>
        <w:t>[8][13]：</w:t>
      </w:r>
    </w:p>
    <w:p>
      <w:pPr>
        <w:numPr>
          <w:ilvl w:val="-1"/>
          <w:numId w:val="16"/>
        </w:num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自主结节中</w:t>
      </w:r>
      <w:r>
        <w:rPr>
          <w:color w:val="7F7F7F" w:themeColor="text1" w:themeTint="80"/>
        </w:rPr>
        <w:t xml:space="preserve">：TSH受体突变 → 持续激活cAMP通路 → 无视负反馈。</w:t>
      </w:r>
    </w:p>
    <w:p>
      <w:pPr>
        <w:numPr>
          <w:ilvl w:val="-1"/>
          <w:numId w:val="16"/>
        </w:num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Graves病中</w:t>
      </w:r>
      <w:r>
        <w:rPr>
          <w:color w:val="7F7F7F" w:themeColor="text1" w:themeTint="80"/>
        </w:rPr>
        <w:t xml:space="preserve">：TRAb刺激滤泡细胞 → 碘摄取率↑ + 合成酶表达↑。</w:t>
      </w:r>
    </w:p>
    <w:p>
      <w:pPr>
        <w:spacing w:after="400" w:line="400" w:lineRule="atLeast"/>
      </w:pPr>
      <w:r>
        <w:rPr>
          <w:b/>
          <w:sz w:val="30"/>
        </w:rPr>
        <w:t>二、诱因与高危人群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常见碘暴露源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来源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碘含量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诱发时间窗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碘化造影剂（CT）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15-37g/次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2-12周[4][11]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胺碘酮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75mg/片（含碘9mg）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3-36个月[2][12]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碘消毒剂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皮肤吸收（新生儿为主）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1-4周[7]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碘补充剂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每日&gt;1mg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数周至数月[5]</w:t>
            </w:r>
          </w:p>
        </w:tc>
      </w:tr>
    </w:tbl>
    <w:p>
      <w:pPr>
        <w:spacing w:before="400"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高危人群分层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风险等级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特征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机制解析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极高危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结节性甲状腺肿（尤其自主功能结节）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结节无视TSH调控，持续利用碘合成激素[5][15]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高危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Graves病（活动期/缓解期）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TRAb激活TSH受体 → 碘摄取和合成效率↑[8][12]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中危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缺碘地区居民补碘后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甲状腺长期处于“碘饥饿”状态 → 获得性自主性[5][15]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低危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正常甲状腺者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罕见（&lt;0.1%）[4]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流行病学</w:t>
      </w:r>
      <w:r>
        <w:rPr>
          <w:color w:val="7F7F7F" w:themeColor="text1" w:themeTint="80"/>
        </w:rPr>
        <w:t>：胺碘酮治疗者中AIT发生率15-20%，其中Ⅱ型（Jod-Basedow为主）占60%[10][12]。</w:t>
      </w:r>
    </w:p>
    <w:p>
      <w:pPr>
        <w:spacing w:after="400" w:line="400" w:lineRule="atLeast"/>
      </w:pPr>
      <w:r>
        <w:rPr>
          <w:b/>
          <w:sz w:val="30"/>
        </w:rPr>
        <w:t>三、临床表现与诊断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典型三联征</w:t>
      </w:r>
    </w:p>
    <w:p>
      <w:pPr>
        <w:numPr>
          <w:ilvl w:val="0"/>
          <w:numId w:val="7"/>
        </w:numPr>
        <w:spacing w:after="400" w:line="400" w:lineRule="atLeast"/>
      </w:pPr>
      <w:r>
        <w:rPr>
          <w:b w:val="true"/>
        </w:rPr>
        <w:t>甲亢症状</w:t>
      </w:r>
      <w:r>
        <w:t>：心悸、体重下降、震颤（可突发且进展迅速）[4][7]。</w:t>
      </w:r>
    </w:p>
    <w:p>
      <w:pPr>
        <w:numPr>
          <w:ilvl w:val="0"/>
          <w:numId w:val="7"/>
        </w:numPr>
        <w:spacing w:after="400" w:line="400" w:lineRule="atLeast"/>
      </w:pPr>
      <w:r>
        <w:rPr>
          <w:b w:val="true"/>
        </w:rPr>
        <w:t>近期碘暴露史</w:t>
      </w:r>
      <w:r>
        <w:t>：造影检查/胺碘酮治疗/碘剂使用（需追溯2周-3个月内）[11][15]。</w:t>
      </w:r>
    </w:p>
    <w:p>
      <w:pPr>
        <w:numPr>
          <w:ilvl w:val="0"/>
          <w:numId w:val="7"/>
        </w:numPr>
        <w:spacing w:after="400" w:line="400" w:lineRule="atLeast"/>
      </w:pPr>
      <w:r>
        <w:rPr>
          <w:b w:val="true"/>
        </w:rPr>
        <w:t>甲状腺体征</w:t>
      </w:r>
      <w:r>
        <w:t>：</w:t>
      </w:r>
    </w:p>
    <w:p>
      <w:pPr>
        <w:numPr>
          <w:ilvl w:val="0"/>
          <w:numId w:val="13"/>
        </w:numPr>
        <w:spacing w:after="400" w:line="400" w:lineRule="atLeast"/>
      </w:pPr>
      <w:r>
        <w:t>结节性甲状腺肿：可触及单个或多个结节[7]。</w:t>
      </w:r>
    </w:p>
    <w:p>
      <w:pPr>
        <w:numPr>
          <w:ilvl w:val="0"/>
          <w:numId w:val="13"/>
        </w:numPr>
        <w:spacing w:after="400" w:line="400" w:lineRule="atLeast"/>
      </w:pPr>
      <w:r>
        <w:t>Graves病：弥漫性肿大伴血管杂音[8]。</w:t>
      </w:r>
    </w:p>
    <w:p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诊断标准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指标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特征性改变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鉴别价值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甲状腺功能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FT3↑↑ &gt; FT4↑ + TSH↓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区别于甲状腺炎性甲亢（T4为主升高）[4]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摄碘率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受抑制</w:t>
            </w:r>
            <w:r>
              <w:t>（24h&lt;2%）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核心鉴别点 vs. Graves病（摄碘率↑）[8]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TRAb/TPOAb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阴性（除非合并Graves）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排除自身免疫性甲亢[15]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超声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结节性肿大（伴血流丰富）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提示自主功能结节[15]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注</w:t>
      </w:r>
      <w:r>
        <w:rPr>
          <w:color w:val="7F7F7F" w:themeColor="text1" w:themeTint="80"/>
        </w:rPr>
        <w:t>：胺碘酮诱发者需分型：</w:t>
      </w:r>
    </w:p>
    <w:p>
      <w:pPr>
        <w:numPr>
          <w:ilvl w:val="-1"/>
          <w:numId w:val="3"/>
        </w:num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Ⅰ型（Jod-Basedow）</w:t>
      </w:r>
      <w:r>
        <w:rPr>
          <w:color w:val="7F7F7F" w:themeColor="text1" w:themeTint="80"/>
        </w:rPr>
        <w:t xml:space="preserve"> ：摄碘率↓ + 超声示结节。</w:t>
      </w:r>
    </w:p>
    <w:p>
      <w:pPr>
        <w:numPr>
          <w:ilvl w:val="-1"/>
          <w:numId w:val="3"/>
        </w:num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Ⅱ型（破坏性甲状腺炎）</w:t>
      </w:r>
      <w:r>
        <w:rPr>
          <w:color w:val="7F7F7F" w:themeColor="text1" w:themeTint="80"/>
        </w:rPr>
        <w:t xml:space="preserve"> ：摄碘率↓ + 甲状腺压痛[10][12]。</w:t>
      </w:r>
    </w:p>
    <w:p>
      <w:pPr>
        <w:spacing w:after="400" w:line="400" w:lineRule="atLeast"/>
      </w:pPr>
      <w:r>
        <w:rPr>
          <w:b/>
          <w:sz w:val="30"/>
        </w:rPr>
        <w:t>四、治疗与预后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紧急处理原则</w:t>
      </w:r>
    </w:p>
    <w:p>
      <w:r>
        <w:t xml:space="preserve">graph TB
</w:t>
      </w:r>
    </w:p>
    <w:p>
      <w:r>
        <w:t xml:space="preserve">A[确诊Jod-Basedow] --&gt; B{症状严重度？}
</w:t>
      </w:r>
    </w:p>
    <w:p>
      <w:r>
        <w:t xml:space="preserve">B --&gt;|轻度| C[停碘源+监测]
</w:t>
      </w:r>
    </w:p>
    <w:p>
      <w:r>
        <w:t xml:space="preserve">B --&gt;|中重度| D[β受体阻滞剂]
</w:t>
      </w:r>
    </w:p>
    <w:p>
      <w:r>
        <w:t xml:space="preserve">D --&gt; E{是否胺碘酮诱发？}
</w:t>
      </w:r>
    </w:p>
    <w:p>
      <w:r>
        <w:t xml:space="preserve">E --&gt;|是| F[停胺碘酮+高氯酸钾/甲巯咪唑]
</w:t>
      </w:r>
    </w:p>
    <w:p>
      <w:r>
        <w:t xml:space="preserve">E --&gt;|否| G[甲巯咪唑+糖皮质激素]
</w:t>
      </w:r>
    </w:p>
    <w:p>
      <w:r>
        <w:t xml:space="preserve">G --&gt; H[48小时复查FT3]
</w:t>
      </w:r>
    </w:p>
    <w:p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关键治疗措施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根本治疗</w:t>
      </w:r>
      <w:r>
        <w:t>：</w:t>
      </w:r>
      <w:r>
        <w:rPr>
          <w:b w:val="true"/>
        </w:rPr>
        <w:t>立即停用碘源</w:t>
      </w:r>
      <w:r>
        <w:t>（如造影剂后无需处理，胺碘酮需评估心衰风险）[4][12]。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药物选择</w:t>
      </w:r>
      <w:r>
        <w:t>：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药物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适用场景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机制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甲巯咪唑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非胺碘酮诱发者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抑制TPO活性 → 阻断新激素合成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高氯酸钾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胺碘酮诱发Ⅰ型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竞争性抑制NIS → 减少碘摄入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糖皮质激素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FT3&gt;10 pmol/L或合并心衰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抑制T4向T3转化 + 抗炎</w:t>
            </w:r>
          </w:p>
        </w:tc>
      </w:tr>
    </w:tbl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禁用放射性碘</w:t>
      </w:r>
      <w:r>
        <w:t>：摄碘率低致治疗无效[7][15]。</w:t>
      </w:r>
    </w:p>
    <w:p>
      <w:pPr>
        <w:spacing w:before="400" w:after="400" w:line="400" w:lineRule="atLeast"/>
      </w:pPr>
      <w:r>
        <w:rPr>
          <w:b/>
          <w:sz w:val="26"/>
        </w:rPr>
        <w:t xml:space="preserve">3. </w:t>
      </w:r>
      <w:r>
        <w:rPr>
          <w:b w:val="true"/>
          <w:sz w:val="26"/>
        </w:rPr>
        <w:t>预后特征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缓解时间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复发风险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后遗症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造影剂诱发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2-12周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&lt;5%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罕见[4][15]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胺碘酮诱发Ⅰ型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3-6个月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30%（再暴露）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可进展永久性甲减[10][12]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缺碘区补碘后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6-12个月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依赖碘供应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结节持续存在[5]</w:t>
            </w:r>
          </w:p>
        </w:tc>
      </w:tr>
    </w:tbl>
    <w:p>
      <w:pPr>
        <w:spacing w:before="400" w:after="400" w:line="400" w:lineRule="atLeast"/>
      </w:pPr>
      <w:r>
        <w:rPr>
          <w:b/>
          <w:sz w:val="30"/>
        </w:rPr>
        <w:t>五、争议与前沿进展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未解问题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逃逸机制缺陷的基因基础</w:t>
      </w:r>
      <w:r>
        <w:t>：</w:t>
      </w:r>
    </w:p>
    <w:p>
      <w:pPr>
        <w:numPr>
          <w:ilvl w:val="-1"/>
          <w:numId w:val="9"/>
        </w:numPr>
        <w:spacing w:after="400" w:line="400" w:lineRule="atLeast"/>
      </w:pPr>
      <w:r>
        <w:rPr>
          <w:i w:val="true"/>
        </w:rPr>
        <w:t>TSHR</w:t>
      </w:r>
      <w:r>
        <w:t xml:space="preserve"> 或 </w:t>
      </w:r>
      <w:r>
        <w:rPr>
          <w:i w:val="true"/>
        </w:rPr>
        <w:t>GNAS</w:t>
      </w:r>
      <w:r>
        <w:t xml:space="preserve"> 突变是否决定个体易感性？[8]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胺碘酮治疗矛盾</w:t>
      </w:r>
      <w:r>
        <w:t>：</w:t>
      </w:r>
    </w:p>
    <w:p>
      <w:pPr>
        <w:numPr>
          <w:ilvl w:val="-1"/>
          <w:numId w:val="14"/>
        </w:numPr>
        <w:spacing w:after="400" w:line="400" w:lineRule="atLeast"/>
      </w:pPr>
      <w:r>
        <w:t xml:space="preserve">心衰患者停胺碘酮风险 &gt; 甲亢风险时，如何平衡？[12]</w:t>
      </w:r>
    </w:p>
    <w:p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预防策略革新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高危人群筛查</w:t>
      </w:r>
      <w:r>
        <w:t>：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干预前筛查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阳性标准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预防措施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甲状腺超声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自主结节 &gt;1cm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避免含碘造影剂/改用钆剂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TRAb检测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&gt;5 IU/L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胺碘酮治疗前控制Graves病</w:t>
            </w:r>
          </w:p>
        </w:tc>
      </w:tr>
    </w:tbl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碘负荷后监测</w:t>
      </w:r>
      <w:r>
        <w:t>：</w:t>
      </w:r>
    </w:p>
    <w:p>
      <w:pPr>
        <w:numPr>
          <w:ilvl w:val="-1"/>
          <w:numId w:val="11"/>
        </w:numPr>
        <w:spacing w:after="400" w:line="400" w:lineRule="atLeast"/>
      </w:pPr>
      <w:r>
        <w:t xml:space="preserve">造影后48小时查TSH，若&lt;0.1 mIU/L → 2周后复查FT3[11][15]。</w:t>
      </w:r>
    </w:p>
    <w:p>
      <w:pPr>
        <w:spacing w:before="400" w:after="400" w:line="400" w:lineRule="atLeast"/>
      </w:pPr>
      <w:r>
        <w:rPr>
          <w:b/>
          <w:sz w:val="30"/>
        </w:rPr>
        <w:t>六、总结</w:t>
      </w:r>
    </w:p>
    <w:p>
      <w:pPr>
        <w:spacing w:after="400" w:line="400" w:lineRule="atLeast"/>
      </w:pPr>
      <w:r>
        <w:t>Jod-Basedow效应是</w:t>
      </w:r>
      <w:r>
        <w:rPr>
          <w:b w:val="true"/>
        </w:rPr>
        <w:t>碘超载与甲状腺自调节缺陷共同导致的病理性甲亢</w:t>
      </w:r>
      <w:r>
        <w:t>，核心在于：</w:t>
      </w:r>
    </w:p>
    <w:p>
      <w:pPr>
        <w:numPr>
          <w:ilvl w:val="0"/>
          <w:numId w:val="10"/>
        </w:numPr>
        <w:spacing w:after="400" w:line="400" w:lineRule="atLeast"/>
      </w:pPr>
      <w:r>
        <w:rPr>
          <w:b w:val="true"/>
        </w:rPr>
        <w:t>机制对立性</w:t>
      </w:r>
      <w:r>
        <w:t>：与Wolff-Chaikoff效应同源但结局相反，由甲状腺自主性组织驱动[3][8]。</w:t>
      </w:r>
    </w:p>
    <w:p>
      <w:pPr>
        <w:numPr>
          <w:ilvl w:val="0"/>
          <w:numId w:val="10"/>
        </w:numPr>
        <w:spacing w:after="400" w:line="400" w:lineRule="atLeast"/>
      </w:pPr>
      <w:r>
        <w:rPr>
          <w:b w:val="true"/>
        </w:rPr>
        <w:t>临床识别关键</w:t>
      </w:r>
      <w:r>
        <w:t xml:space="preserve">：摄碘率受抑制 + 近期碘暴露史 + 结节性甲状腺肿[4][15]。</w:t>
      </w:r>
    </w:p>
    <w:p>
      <w:pPr>
        <w:numPr>
          <w:ilvl w:val="0"/>
          <w:numId w:val="10"/>
        </w:numPr>
        <w:spacing w:after="400" w:line="400" w:lineRule="atLeast"/>
      </w:pPr>
      <w:r>
        <w:rPr>
          <w:b w:val="true"/>
        </w:rPr>
        <w:t>管理核心</w:t>
      </w:r>
      <w:r>
        <w:t>：</w:t>
      </w:r>
    </w:p>
    <w:p>
      <w:pPr>
        <w:numPr>
          <w:ilvl w:val="0"/>
          <w:numId w:val="8"/>
        </w:numPr>
        <w:spacing w:after="400" w:line="400" w:lineRule="atLeast"/>
      </w:pPr>
      <w:r>
        <w:t>立即终止碘暴露，中重度者联用抗甲状腺药及β阻滞剂[10][12]。</w:t>
      </w:r>
    </w:p>
    <w:p>
      <w:pPr>
        <w:numPr>
          <w:ilvl w:val="0"/>
          <w:numId w:val="8"/>
        </w:numPr>
        <w:spacing w:after="400" w:line="400" w:lineRule="atLeast"/>
      </w:pPr>
      <w:r>
        <w:t>胺碘酮诱发者需权衡心衰风险，优选高氯酸钾+甲巯咪唑[12]。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未来方向</w:t>
      </w:r>
      <w:r>
        <w:rPr>
          <w:color w:val="7F7F7F" w:themeColor="text1" w:themeTint="80"/>
        </w:rPr>
        <w:t xml:space="preserve">：开发基于 </w:t>
      </w:r>
      <w:r>
        <w:rPr>
          <w:i w:val="true"/>
          <w:color w:val="7F7F7F" w:themeColor="text1" w:themeTint="80"/>
        </w:rPr>
        <w:t>TSHR</w:t>
      </w:r>
      <w:r>
        <w:rPr>
          <w:color w:val="7F7F7F" w:themeColor="text1" w:themeTint="80"/>
        </w:rPr>
        <w:t xml:space="preserve"> 基因型的个体化预防策略，减少医源性甲亢发生。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>权威声明：所有拟使用含碘造影剂或胺碘酮者，应常规筛查甲状腺结节及TRAb（2025年欧洲指南）[15]。</w:t>
      </w:r>
    </w:p>
    <w:p>
      <w:pPr>
        <w:pStyle w:val="Heading2"/>
        <w:spacing w:after="400" w:line="400" w:lineRule="atLeast"/>
      </w:pPr>
      <w:r>
        <w:t>相关事件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事件名称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事件概述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Wolff-Chaikoff效应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1948首次描述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Wolff-Chaikoff效应是一种由快速上升的循环碘引起的抗甲状腺效应，导致甲状腺激素释放受到抑制。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医学研究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Jod-Basedow现象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未明确具体时间，但相关研究持续进行中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Jod-Basedow现象是碘诱导的甲状腺功能亢进症，通常由高剂量碘摄入引起，与Wolff-Chaikoff效应受损有关。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医学研究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碘超载对甲状腺的影响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持续发生，具体时间未提及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碘超载导致甲状腺功能异常，包括甲状腺激素合成减少和TSH水平升高。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医学研究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碘化造影剂与Jod-Basedow现象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未明确具体时间，但相关研究持续进行中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使用碘化造影剂后可能出现Jod-Basedow现象，尤其是在进行CT扫描、血管造影等情况下。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医学研究</w:t>
            </w:r>
          </w:p>
        </w:tc>
      </w:tr>
    </w:tbl>
    <w:p>
      <w:pPr>
        <w:pStyle w:val="Heading2"/>
        <w:spacing w:before="400" w:after="400" w:line="400" w:lineRule="atLeast"/>
      </w:pPr>
      <w:r>
        <w:t>相关组织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组织名称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概述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J Biol Chem.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一家发表生物学相关研究的学术期刊。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学术/研究机构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Endocrinology.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专注于内分泌学领域的学术期刊。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学术/研究机构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Thyroid.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专注于甲状腺健康和疾病研究的学术期刊。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学术/研究机构</w:t>
            </w:r>
          </w:p>
        </w:tc>
      </w:tr>
    </w:tbl>
    <w:p>
      <w:pPr>
        <w:pStyle w:val="Heading2"/>
        <w:spacing w:before="400" w:after="400" w:line="400" w:lineRule="atLeast"/>
      </w:pPr>
      <w:r>
        <w:t>相关人物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人物名称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概述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Eng PH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参与了关于甲状腺功能调节的研究。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研究人员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Cardona GR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参与了关于甲状腺功能调节的研究。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研究人员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Fang SL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参与了关于甲状腺功能调节的研究。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研究人员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Padovani RP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参与了关于水溶性碘化对比剂对甲状腺功能影响的研究。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研究人员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Kasamatsu TS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参与了关于水溶性碘化对比剂对甲状腺功能影响的研究。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研究人员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Nakabashi CC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参与了关于水溶性碘化对比剂对甲状腺功能影响的研究。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研究人员</w:t>
            </w:r>
          </w:p>
        </w:tc>
      </w:tr>
    </w:tbl>
    <w:p>
      <w:pPr>
        <w:pStyle w:val="Heading2"/>
        <w:spacing w:before="400" w:after="400" w:line="400" w:lineRule="atLeast"/>
      </w:pPr>
      <w:r>
        <w:t>参考资料</w:t>
      </w:r>
    </w:p>
    <w:p>
      <w:pPr>
        <w:spacing w:after="200" w:line="400" w:lineRule="atLeast"/>
      </w:pPr>
      <w:hyperlink r:id="rId5">
        <w:r>
          <w:rPr>
            <w:rStyle w:val="DefaultParagraphFont"/>
            <w:color w:val="0563C1"/>
          </w:rPr>
          <w:t xml:space="preserve">1. 临床进展 l 碘过量：风险（全/O） [2024]</w:t>
        </w:r>
      </w:hyperlink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2. 临床结果解读 | 服用胺碘酮对甲状腺带来的那“碘”影响 [2022-02-11]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3. Wolff-Chaikoff Effect [2022]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4. Jod-Basedow Syndrome [2023-06-25]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5. 月旦评 | 蛋白尿与甲状腺功能减退症之间有何关系？ [2021-01-20]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6. Jan Wolff and Israel L. Chaikoff [2015]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7. Jod-Basedow现象：碘诱导的甲状腺功能亢进症 [2022]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8. JOD-BASEDOW PHENOMENON: PHENOMENAL THYROTOXICOSIS?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9. 药源性甲状腺疾病 Drug-induced thyroid disease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10. 临床问题 l 2022胺碘酮致甲状腺疾病的评估与治疗-更新 [2022-05-26]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11. 日问186：碘造影剂对甲状腺会有何影响？ [2020-07-10]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12. Amiodarone and thyroid – Wolff-Chaikoff effect and Jod-Basedow phenomenon [2022-05-12]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13. Escape from the acute Wolff-Chaikoff effect is associated with a decrease in thyroid sodium/iodide symporter messenger ribonucleic acid and protein [1997-01-01]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14. Clinical and forensic aspects of potassium iodide: Suddenly in high demand across Europe due to fears of radiation poisoning from a nuclear attack in Ukraine</w:t>
        </w:r>
      </w:hyperlink>
    </w:p>
    <w:p>
      <w:pPr>
        <w:spacing w:after="200" w:line="400" w:lineRule="atLeast"/>
      </w:pPr>
      <w:hyperlink r:id="rId19">
        <w:r>
          <w:rPr>
            <w:rStyle w:val="DefaultParagraphFont"/>
            <w:color w:val="0563C1"/>
          </w:rPr>
          <w:t xml:space="preserve">15. 碘化造影剂（ICM）诱发甲状腺功能障碍：潜在机制与临床管理综述 [2025-04-30]</w:t>
        </w:r>
      </w:hyperlink>
    </w:p>
    <w:sectPr>
      <w:headerReference w:type="default" r:id="rId20"/>
      <w:footerReference w:type="default" r:id="rId21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8110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6220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1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2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jpeg" Type="http://schemas.openxmlformats.org/officeDocument/2006/relationships/image" Id="rId4"/>
    <Relationship TargetMode="External" Target="https://mp.weixin.qq.com/s?__biz=MzIwMTk4MzY2OQ%3D%3D&amp;mid=2247517814&amp;idx=1&amp;sn=563aafdaf3cda8b96ecbea2a293a140a&amp;chksm=96e755aca190dcba2a541dee94a27dd56bb0f20b8f881b22e61ccb9724452e7af8db0cd3d607&amp;scene=27" Type="http://schemas.openxmlformats.org/officeDocument/2006/relationships/hyperlink" Id="rId5"/>
    <Relationship TargetMode="External" Target="https://mp.weixin.qq.com/s?__biz=MzA3ODczNTkyOQ%3D%3D&amp;mid=2650061924&amp;idx=1&amp;sn=d39f5e67f7f29edbf1b9829b0d0eb116&amp;chksm=87be2332b0c9aa249e0ba95a2f406ace67f2a3f8b0a5ed95ba510fc2f2ba4efca093ecb19c59&amp;scene=27" Type="http://schemas.openxmlformats.org/officeDocument/2006/relationships/hyperlink" Id="rId6"/>
    <Relationship TargetMode="External" Target="https://www.sciencedirect.com/topics/pharmacology-toxicology-and-pharmaceutical-science/wolff-chaikoff-effect" Type="http://schemas.openxmlformats.org/officeDocument/2006/relationships/hyperlink" Id="rId7"/>
    <Relationship TargetMode="External" Target="https://pubmed.ncbi.nlm.nih.gov/31334997/" Type="http://schemas.openxmlformats.org/officeDocument/2006/relationships/hyperlink" Id="rId8"/>
    <Relationship TargetMode="External" Target="https://mp.weixin.qq.com/s?__biz=MzI4MjU4ODkzNQ%3D%3D&amp;mid=2247501135&amp;idx=1&amp;sn=7d0676586f66ab0177c1d26f96953981&amp;chksm=eb952727dce2ae31529a9c9735b5453b0a0a64e7ad2bf8e428252f77cd5bdde9c09add4c54a2&amp;scene=27" Type="http://schemas.openxmlformats.org/officeDocument/2006/relationships/hyperlink" Id="rId9"/>
    <Relationship TargetMode="External" Target="https://link.springer.com/chapter/10.1007/978-3-319-13662-2_4" Type="http://schemas.openxmlformats.org/officeDocument/2006/relationships/hyperlink" Id="rId10"/>
    <Relationship TargetMode="External" Target="https://www.sanamed.rs/OJS/index.php/Sanamed/article/view/531" Type="http://schemas.openxmlformats.org/officeDocument/2006/relationships/hyperlink" Id="rId11"/>
    <Relationship TargetMode="External" Target="https://scindeks-clanci.ceon.rs/data/pdf/1452-662X/2021/1452-662X2103221O.pdf" Type="http://schemas.openxmlformats.org/officeDocument/2006/relationships/hyperlink" Id="rId12"/>
    <Relationship TargetMode="External" Target="https://www.cadrj.com/CN/article/downloadArticleFile.do?attachType=PDF&amp;id=672" Type="http://schemas.openxmlformats.org/officeDocument/2006/relationships/hyperlink" Id="rId13"/>
    <Relationship TargetMode="External" Target="https://mp.weixin.qq.com/s?__biz=MzIwMTk4MzY2OQ%3D%3D&amp;mid=2247502896&amp;idx=1&amp;sn=7a92dd334209f13845d370f03a884fa0&amp;chksm=96e71feaa19096fcc8407adf7e4514e6cf9f9c10979720bcb2223a3f5a0dc4dfc091f26a2fa6&amp;scene=27" Type="http://schemas.openxmlformats.org/officeDocument/2006/relationships/hyperlink" Id="rId14"/>
    <Relationship TargetMode="External" Target="https://mp.weixin.qq.com/s?__biz=MzIxMjQ5NzI0Mw%3D%3D&amp;mid=2247485300&amp;idx=1&amp;sn=a68cce0381e665b2030e7794315884c4&amp;chksm=97446140a033e85628c5b78f4b04660281bc4eaa2054c9ef1002517ae31a21250b9641f99768&amp;scene=27" Type="http://schemas.openxmlformats.org/officeDocument/2006/relationships/hyperlink" Id="rId15"/>
    <Relationship TargetMode="External" Target="https://johnsonfrancis.org/professional/amiodarone-and-thyroid-wolff-chaikoff-effect-and-jod-basedow-phenomenon/" Type="http://schemas.openxmlformats.org/officeDocument/2006/relationships/hyperlink" Id="rId16"/>
    <Relationship TargetMode="External" Target="https://pubmed.ncbi.nlm.nih.gov/10433193/" Type="http://schemas.openxmlformats.org/officeDocument/2006/relationships/hyperlink" Id="rId17"/>
    <Relationship TargetMode="External" Target="https://magistralbr.caldic.com/storage/product-files/iBL2I0UTFqMPx8kvdWCxChcAeSRCf982X1O2zH6M.pdf" Type="http://schemas.openxmlformats.org/officeDocument/2006/relationships/hyperlink" Id="rId18"/>
    <Relationship TargetMode="External" Target="https://www.ebiotrade.com/newsf/2025-4/20250430053202867.htm" Type="http://schemas.openxmlformats.org/officeDocument/2006/relationships/hyperlink" Id="rId19"/>
    <Relationship Target="header.xml" Type="http://schemas.openxmlformats.org/officeDocument/2006/relationships/header" Id="rId20"/>
    <Relationship Target="footer.xml" Type="http://schemas.openxmlformats.org/officeDocument/2006/relationships/footer" Id="rId21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