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 xml:space="preserve">TPOAb和TgAb 的升高具体如何导致甲状腺破坏？抗体水平与疾病严重程度是否成正比？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以下基于最新研究证据，系统分析TPOAb与TgAb导致甲状腺破坏的机制，并深入探讨抗体水平与桥本氏甲状腺炎（HT）疾病严重程度的关系：</w:t>
      </w:r>
    </w:p>
    <w:p>
      <w:pPr>
        <w:spacing w:after="400" w:line="400" w:lineRule="atLeast"/>
      </w:pPr>
      <w:r>
        <w:rPr>
          <w:b w:val="true"/>
          <w:sz w:val="30"/>
        </w:rPr>
        <w:t>一、TPOAb与TgAb导致甲状腺破坏的核心机制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TPOAb的直接细胞毒性作用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靶向关键酶破坏激素合成</w:t>
      </w:r>
      <w:r>
        <w:t>：TPOAb特异性结合甲状腺过氧化物酶（TPO），该酶是催化甲状腺激素合成的关键酶。TPOAb通过抑制TPO活性，直接阻断碘化酪氨酸偶联过程，导致甲状腺激素合成障碍[1][3]。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激活补体介导的细胞溶解</w:t>
      </w:r>
      <w:r>
        <w:t>：TPOAb与TPO结合后形成免疫复合物，激活补体系统（如C1q、C3），引发膜攻击复合物（MAC）沉积于滤泡细胞膜，直接导致细胞溶解[3][14]。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抗体依赖性细胞介导的细胞毒性（ADCC）</w:t>
      </w:r>
      <w:r>
        <w:t xml:space="preserve"> ：TPOAb通过Fc段结合自然杀伤细胞（NK细胞）表面的Fc受体，激活NK细胞释放穿孔素和颗粒酶，直接杀伤甲状腺滤泡上皮细胞[9][12]。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TgAb的间接破坏作用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免疫复合物沉积引发炎症</w:t>
      </w:r>
      <w:r>
        <w:t>：TgAb与甲状腺球蛋白（Tg）结合形成免疫复合物，沉积于甲状腺组织内，招募巨噬细胞和淋巴细胞浸润，释放TNF-α、IFN-γ等炎症因子，导致滤泡细胞损伤[3][6]。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增强抗原呈递与自身免疫放大</w:t>
      </w:r>
      <w:r>
        <w:t>：Tg-抗体复合物被树突状细胞吞噬后，增强甲状腺抗原呈递给T淋巴细胞的能力，激活Th1细胞介导的细胞免疫反应，进一步扩大甲状腺组织破坏[10][15]。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与TPOAb的协同效应</w:t>
      </w:r>
      <w:r>
        <w:t>：临床数据显示，</w:t>
      </w:r>
      <w:r>
        <w:rPr>
          <w:b w:val="true"/>
        </w:rPr>
        <w:t>TPOAb与TgAb双阳性患者</w:t>
      </w:r>
      <w:r>
        <w:t>的甲状腺淋巴细胞浸润程度显著高于单一抗体阳性者，提示两者协同加速免疫攻击[13][15]。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3. 组织病理学动态演变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早期阶段</w:t>
      </w:r>
      <w:r>
        <w:t>：抗体激活免疫细胞（淋巴细胞、浆细胞）浸润，形成淋巴滤泡和生发中心，滤泡上皮出现嗜酸性变（Hürthle细胞化生）[12][14]。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进展阶段</w:t>
      </w:r>
      <w:r>
        <w:t>：持续免疫攻击导致滤泡萎缩、胶质减少，胶原纤维增生替代正常腺体结构[7][13]。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晚期阶段</w:t>
      </w:r>
      <w:r>
        <w:t>：广泛纤维化导致甲状腺功能永久性丧失，此时因滤泡细胞大量减少，抗体水平反而可能下降（"衰竭现象"）[11][13]。</w:t>
      </w:r>
    </w:p>
    <w:p>
      <w:pPr>
        <w:spacing w:after="400" w:line="400" w:lineRule="atLeast"/>
      </w:pPr>
      <w:r>
        <w:rPr>
          <w:b w:val="true"/>
          <w:sz w:val="30"/>
        </w:rPr>
        <w:t>二、抗体水平与疾病严重程度的关系：矛盾与共识</w:t>
      </w:r>
    </w:p>
    <w:p>
      <w:pPr>
        <w:spacing w:after="400" w:line="400" w:lineRule="atLeast"/>
      </w:pPr>
      <w:r>
        <w:rPr>
          <w:b w:val="true"/>
          <w:sz w:val="26"/>
        </w:rPr>
        <w:t xml:space="preserve">1. 支持正我搜索到的资料</w:t>
      </w:r>
    </w:p>
    <w:p>
      <w:pPr>
        <w:numPr>
          <w:ilvl w:val="-1"/>
          <w:numId w:val="18"/>
        </w:numPr>
        <w:spacing w:after="400" w:line="400" w:lineRule="atLeast"/>
      </w:pPr>
      <w:r>
        <w:rPr>
          <w:b w:val="true"/>
        </w:rPr>
        <w:t>与甲状腺功能损伤程度正相关</w:t>
      </w:r>
      <w:r>
        <w:t>：</w:t>
      </w:r>
    </w:p>
    <w:p>
      <w:pPr>
        <w:numPr>
          <w:ilvl w:val="-1"/>
          <w:numId w:val="10"/>
        </w:numPr>
        <w:spacing w:after="400" w:line="400" w:lineRule="atLeast"/>
      </w:pPr>
      <w:r>
        <w:t xml:space="preserve">高TPOAb组（&gt;500 IU/mL）患者的TSH水平显著升高，FT3/FT4明显降低，提示甲状腺功能减退更严重[10][15]。</w:t>
      </w:r>
    </w:p>
    <w:p>
      <w:pPr>
        <w:numPr>
          <w:ilvl w:val="-1"/>
          <w:numId w:val="10"/>
        </w:numPr>
        <w:spacing w:after="400" w:line="400" w:lineRule="atLeast"/>
      </w:pPr>
      <w:r>
        <w:t xml:space="preserve">TgAb ≥500 IU/mL时，甲状腺滤泡破坏加速，甲减风险增加2.5倍[3][6]。</w:t>
      </w:r>
    </w:p>
    <w:p>
      <w:pPr>
        <w:numPr>
          <w:ilvl w:val="-1"/>
          <w:numId w:val="18"/>
        </w:numPr>
        <w:spacing w:after="400" w:line="400" w:lineRule="atLeast"/>
      </w:pPr>
      <w:r>
        <w:rPr>
          <w:b w:val="true"/>
        </w:rPr>
        <w:t>与组织炎症程度正相关</w:t>
      </w:r>
      <w:r>
        <w:t>：</w:t>
      </w:r>
    </w:p>
    <w:p>
      <w:pPr>
        <w:numPr>
          <w:ilvl w:val="-1"/>
          <w:numId w:val="1"/>
        </w:numPr>
        <w:spacing w:after="400" w:line="400" w:lineRule="atLeast"/>
      </w:pPr>
      <w:r>
        <w:t>血清TPOAb水平与甲状腺淋巴细胞浸润程度呈显著正相关（</w:t>
      </w:r>
      <w:r>
        <w:rPr>
          <w:i w:val="true"/>
        </w:rPr>
        <w:t>r</w:t>
      </w:r>
      <w:r>
        <w:t xml:space="preserve">=0.68, </w:t>
      </w:r>
      <w:r>
        <w:rPr>
          <w:i w:val="true"/>
        </w:rPr>
        <w:t>P</w:t>
      </w:r>
      <w:r>
        <w:t>&lt;0.01）[13]。</w:t>
      </w:r>
    </w:p>
    <w:p>
      <w:pPr>
        <w:numPr>
          <w:ilvl w:val="-1"/>
          <w:numId w:val="1"/>
        </w:numPr>
        <w:spacing w:after="400" w:line="400" w:lineRule="atLeast"/>
      </w:pPr>
      <w:r>
        <w:t>重度甲状腺肿患者（肿大Ⅲ度）的TPOAb/TgAb水平显著高于轻中度肿大者（</w:t>
      </w:r>
      <w:r>
        <w:rPr>
          <w:i w:val="true"/>
        </w:rPr>
        <w:t>P</w:t>
      </w:r>
      <w:r>
        <w:t>&lt;0.05）[13]。</w:t>
      </w:r>
    </w:p>
    <w:p>
      <w:pPr>
        <w:numPr>
          <w:ilvl w:val="-1"/>
          <w:numId w:val="18"/>
        </w:numPr>
        <w:spacing w:after="400" w:line="400" w:lineRule="atLeast"/>
      </w:pPr>
      <w:r>
        <w:rPr>
          <w:b w:val="true"/>
        </w:rPr>
        <w:t>与全身炎症及症状负担正相关</w:t>
      </w:r>
      <w:r>
        <w:t>：</w:t>
      </w:r>
    </w:p>
    <w:p>
      <w:pPr>
        <w:numPr>
          <w:ilvl w:val="-1"/>
          <w:numId w:val="16"/>
        </w:numPr>
        <w:spacing w:after="400" w:line="400" w:lineRule="atLeast"/>
      </w:pPr>
      <w:r>
        <w:t>TPOAb/TgAb升高与血清TNF-α、IFN-γ水平呈正相关，且抗体水平越高，患者疲劳、疼痛、焦虑等全身症状越显著[5][9]。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2. 不支持正我搜索到的资料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抗体水平≠实时破坏强度</w:t>
      </w:r>
      <w:r>
        <w:t>：</w:t>
      </w:r>
    </w:p>
    <w:p>
      <w:pPr>
        <w:numPr>
          <w:ilvl w:val="-1"/>
          <w:numId w:val="17"/>
        </w:numPr>
        <w:spacing w:after="400" w:line="400" w:lineRule="atLeast"/>
      </w:pPr>
      <w:r>
        <w:t>抗体反映的是</w:t>
      </w:r>
      <w:r>
        <w:rPr>
          <w:b w:val="true"/>
        </w:rPr>
        <w:t>自身免疫活跃度</w:t>
      </w:r>
      <w:r>
        <w:t>，而非当前组织破坏程度。部分患者抗体极高但甲状腺功能正常，部分晚期患者因滤泡细胞枯竭，抗体反而降低[1][11]。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个体差异与阈值效应</w:t>
      </w:r>
      <w:r>
        <w:t>：</w:t>
      </w:r>
    </w:p>
    <w:p>
      <w:pPr>
        <w:numPr>
          <w:ilvl w:val="-1"/>
          <w:numId w:val="11"/>
        </w:numPr>
        <w:spacing w:after="400" w:line="400" w:lineRule="atLeast"/>
      </w:pPr>
      <w:r>
        <w:t xml:space="preserve">TgAb在&gt;500 IU/mL时与甲状腺癌风险相关，但&lt;100 IU/mL时临床意义有限[3][6]。</w:t>
      </w:r>
    </w:p>
    <w:p>
      <w:pPr>
        <w:numPr>
          <w:ilvl w:val="-1"/>
          <w:numId w:val="11"/>
        </w:numPr>
        <w:spacing w:after="400" w:line="400" w:lineRule="atLeast"/>
      </w:pPr>
      <w:r>
        <w:t>约20%的HT患者TPOAb始终阴性，但仍有典型病理改变[6][11]。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3. 动态视角：疾病分期的影响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疾病阶段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抗体水平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组织破坏程度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临床意义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早期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显著升高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轻度浸润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预测未来甲减风险[12][15]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活动期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持续高滴度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广泛淋巴细胞浸润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抗体水平与功能损伤正相关[10][13]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晚期（纤维化）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可能下降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重度纤维化、萎缩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抗体降低≠病情好转[11]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30"/>
        </w:rPr>
        <w:t>三、抗体检测的临床解读关键点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诊断价值</w:t>
      </w:r>
      <w:r>
        <w:t>：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TPOAb</w:t>
      </w:r>
      <w:r>
        <w:t>：敏感性＞90%，是HT的核心诊断标志物[6][14]。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TgAb</w:t>
      </w:r>
      <w:r>
        <w:t xml:space="preserve">：特异性更高，但需警惕甲状腺癌可能（尤其&gt;500 IU/mL）[3][6]。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预后判断</w:t>
      </w:r>
      <w:r>
        <w:t>：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双抗体阳性</w:t>
      </w:r>
      <w:r>
        <w:t>：预示更快进展为甲减[10][15]。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 xml:space="preserve">TPOAb&gt;1000 IU/mL</w:t>
      </w:r>
      <w:r>
        <w:t>：与不孕、流产、胎儿神经发育障碍风险相关[9][12]。</w:t>
      </w:r>
    </w:p>
    <w:p>
      <w:pPr>
        <w:numPr>
          <w:ilvl w:val="0"/>
          <w:numId w:val="6"/>
        </w:numPr>
        <w:spacing w:after="400" w:line="400" w:lineRule="atLeast"/>
      </w:pPr>
      <w:r>
        <w:rPr>
          <w:b w:val="true"/>
        </w:rPr>
        <w:t>治疗监测</w:t>
      </w:r>
      <w:r>
        <w:t>：</w:t>
      </w:r>
    </w:p>
    <w:p>
      <w:pPr>
        <w:numPr>
          <w:ilvl w:val="0"/>
          <w:numId w:val="8"/>
        </w:numPr>
        <w:spacing w:after="400" w:line="400" w:lineRule="atLeast"/>
      </w:pPr>
      <w:r>
        <w:t>硒制剂和甲状腺素替代治疗可降低抗体水平，但抗体下降幅度与症状缓解不完全一致[8][12]。</w:t>
      </w:r>
    </w:p>
    <w:p>
      <w:pPr>
        <w:numPr>
          <w:ilvl w:val="0"/>
          <w:numId w:val="8"/>
        </w:numPr>
        <w:spacing w:after="400" w:line="400" w:lineRule="atLeast"/>
      </w:pPr>
      <w:r>
        <w:t>抗体水平需结合超声（如"网格样低回声"）及甲功综合评估[4][11]。</w:t>
      </w:r>
    </w:p>
    <w:p>
      <w:pPr>
        <w:spacing w:after="400" w:line="400" w:lineRule="atLeast"/>
      </w:pPr>
      <w:r>
        <w:rPr>
          <w:b w:val="true"/>
          <w:sz w:val="30"/>
        </w:rPr>
        <w:t>四、争议与未解问题</w:t>
      </w:r>
    </w:p>
    <w:p>
      <w:pPr>
        <w:numPr>
          <w:ilvl w:val="0"/>
          <w:numId w:val="20"/>
        </w:numPr>
        <w:spacing w:after="400" w:line="400" w:lineRule="atLeast"/>
      </w:pPr>
      <w:r>
        <w:rPr>
          <w:b w:val="true"/>
        </w:rPr>
        <w:t>抗体是否直接致病</w:t>
      </w:r>
      <w:r>
        <w:t>：</w:t>
      </w:r>
    </w:p>
    <w:p>
      <w:pPr>
        <w:numPr>
          <w:ilvl w:val="0"/>
          <w:numId w:val="15"/>
        </w:numPr>
        <w:spacing w:after="400" w:line="400" w:lineRule="atLeast"/>
      </w:pPr>
      <w:r>
        <w:t>主流观点认为TPOAb是直接效应分子，TgAb多为伴随现象[3][14]，但新研究发现TgAb可通过调节磷脂代谢加重炎症[9]。</w:t>
      </w:r>
    </w:p>
    <w:p>
      <w:pPr>
        <w:numPr>
          <w:ilvl w:val="0"/>
          <w:numId w:val="20"/>
        </w:numPr>
        <w:spacing w:after="400" w:line="400" w:lineRule="atLeast"/>
      </w:pPr>
      <w:r>
        <w:rPr>
          <w:b w:val="true"/>
        </w:rPr>
        <w:t>降抗体治疗的必要性</w:t>
      </w:r>
      <w:r>
        <w:t>：</w:t>
      </w:r>
    </w:p>
    <w:p>
      <w:pPr>
        <w:numPr>
          <w:ilvl w:val="0"/>
          <w:numId w:val="13"/>
        </w:numPr>
        <w:spacing w:after="400" w:line="400" w:lineRule="atLeast"/>
      </w:pPr>
      <w:r>
        <w:t>部分指南认为无需针对抗体治疗[4]，但临床研究支持对高抗体者干预（如无麸质饮食、硒补充）以延缓甲减[8][12]。</w:t>
      </w:r>
    </w:p>
    <w:p>
      <w:pPr>
        <w:numPr>
          <w:ilvl w:val="0"/>
          <w:numId w:val="20"/>
        </w:numPr>
        <w:spacing w:after="400" w:line="400" w:lineRule="atLeast"/>
      </w:pPr>
      <w:r>
        <w:rPr>
          <w:b w:val="true"/>
        </w:rPr>
        <w:t>抗体与全身性疾病关联</w:t>
      </w:r>
      <w:r>
        <w:t>：</w:t>
      </w:r>
    </w:p>
    <w:p>
      <w:pPr>
        <w:numPr>
          <w:ilvl w:val="0"/>
          <w:numId w:val="4"/>
        </w:numPr>
        <w:spacing w:after="400" w:line="400" w:lineRule="atLeast"/>
      </w:pPr>
      <w:r>
        <w:t>TPOAb升高与脂肪肝、代谢综合征相关，提示HT可能是系统性自身免疫病[9][15]。</w:t>
      </w:r>
    </w:p>
    <w:p>
      <w:pPr>
        <w:spacing w:after="400" w:line="400" w:lineRule="atLeast"/>
      </w:pPr>
      <w:r>
        <w:rPr>
          <w:b w:val="true"/>
          <w:sz w:val="30"/>
        </w:rPr>
        <w:t>结论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破坏机制</w:t>
      </w:r>
      <w:r>
        <w:t>：TPOAb通过抑制酶活性、激活补体和ADCC直接破坏甲状腺细胞；TgAb则通过免疫复合物沉积和炎症放大间接参与损伤，两者协同加速组织纤维化。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与疾病严重度的关系</w:t>
      </w:r>
      <w:r>
        <w:t>：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短期/活动期</w:t>
      </w:r>
      <w:r>
        <w:t xml:space="preserve">：抗体水平与甲状腺功能损伤、组织炎症程度呈正相关，尤其是TPOAb&gt;500 IU/mL或双抗体阳性时。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长期/晚期</w:t>
      </w:r>
      <w:r>
        <w:t>：因甲状腺滤泡耗竭，抗体可能下降，此时需结合甲功与影像学评估，避免误判。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临床实践</w:t>
      </w:r>
      <w:r>
        <w:t>：抗体检测是HT诊断核心工具，但解读需动态结合分期、症状及并发症，未来需探索针对高抗体患者的个体化干预策略。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权威建议：所有抗体显著升高者，无论甲功是否正常，均应每6-12个月监测TSH及超声[1][4][12]。</w:t>
      </w:r>
    </w:p>
    <w:p>
      <w:pPr>
        <w:spacing w:after="400" w:line="400" w:lineRule="atLeast"/>
      </w:pPr>
      <w:r>
        <w:t>（注：以上内容综合最新研究及临床指南，覆盖机制、争议与实操要点，力求多角度满足深度专业需求。）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TPOAb和TgAb在桥本甲状腺炎患者中的作用研究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研究发现TPOAb和TgAb与不良妊娠结果、脂肪肝严重程度以及甲状腺激素合成和胆汁酸代谢有关。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TPOAb阳性与不良妊娠结果的关联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研究显示TPOAb阳性与流产、不孕、胎儿智力障碍和桥本脑病等不良妊娠结果有关。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TPOAb水平与健康指标的关系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TPOAb水平升高与BMI、腰围、血压和血糖水平升高有关，且与脂肪肝的严重程度相关。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TgAb对女性高甘油三酯血症的影响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单独存在的TgAb可以抑制女性的高甘油三酯血症的发展，并降低男性空腹血糖受损的风险。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胆汁酸代谢途径的差异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桥本甲状腺炎患者中TPOAb阳性组的甘氨脱氧胆酸、甘氨胆酸和甘氨胆醇水平显著升高，显示不同抗体状态下的胆汁酸代谢存在差异。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甲状腺激素对胆汁酸代谢的影响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甲状腺激素可以增强胆汁酸代谢，同时抑制参与胆汁酸代谢的关键酶。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医学发现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TPOAb和TgAb对免疫细胞功能的影响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未提供具体时间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TPOAb和TgAb可能通过调节氨基酸和磷脂代谢影响免疫细胞功能和免疫调节。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医学发现</w:t>
            </w:r>
          </w:p>
        </w:tc>
      </w:tr>
    </w:tbl>
    <w:p>
      <w:pPr>
        <w:pStyle w:val="Heading2"/>
        <w:spacing w:before="400" w:after="400" w:line="400" w:lineRule="atLeast"/>
      </w:pPr>
      <w:r>
        <w:t>相关人物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人物名称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刘姗姗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核医学科的工作人员，参与了关于桥本氏甲状腺炎的研究。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医疗/科研人员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王旋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宣传科的工作人员，参与了相关研究的编辑工作。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宣传/编辑人员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抗体高≠病情重？一文讲清桥本氏甲状腺炎病情判断与治疗要点 [2025-04-05]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甲功报告单解读 [2022-12-27]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桥本甲状腺炎抗体阳性：诊断与治疗建议 [2024-03-07]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TPOAb和TGAb与桥本氏甲状腺炎 [2024-09-05]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Thyroid antibodies in Hashimoto’s thyroiditis patients are positively associated with inflammation and multiple symptoms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抗甲状腺蛋白抗体（Tg-Ab）和抗甲状腺过氧化物酶抗体（TPO-Ab）异常升高 [2021-10-26]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邓清献,吕钢.从肝脾肾传变论桥本甲状腺炎病程进展[J].湖北中医杂志,2020.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Understanding Hashimoto’s Antibodies [2013-10-30]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Serum metabolomic analysis in patients with Hashimoto’s thyroiditis positive for TgAb or TPOAb: a preliminary study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阜宁县妇幼保健计划生育服务中心.桥本氏甲状腺炎患者血清TPOAb、TgAb水平与病情的相关性分析[J].检验医学,2018.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甲状腺自身抗体（TGAb，TPOAb）升高与桥本甲状腺炎的关系 [2025-01-27]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TPOAb抗体解读与案例分析 [2017-01-15]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肖剑鹏,林忆阳,徐向进.桥本甲状腺炎患者甲状腺肿大程度与自身抗体及组织学改变的关系[J].川北医学院学报,2017.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桥本氏甲状腺炎患者远离这几个习惯对降低抗体有帮助！ [2025-02-28]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陈腾云,唐杏明.甲状腺自身抗体在免疫性甲状腺疾病中的临床意义[J].深圳中西医结合杂志,2017.</w:t>
        </w:r>
      </w:hyperlink>
    </w:p>
    <w:sectPr>
      <w:headerReference w:type="default" r:id="rId19"/>
      <w:footerReference w:type="default" r:id="rId20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4251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8502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1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3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mp.weixin.qq.com/s?__biz=MzIzODA3NDQ1Mg%3D%3D&amp;mid=2654205194&amp;idx=1&amp;sn=e50c63d3edb7c7f1be4cf7f0c8bc3782&amp;chksm=f3f0ad79a413c262ebb2f2ae4fedbc39fae59807aa72f6ece5cbc82a23ccb755cf6aa7be7ebf&amp;scene=27" Type="http://schemas.openxmlformats.org/officeDocument/2006/relationships/hyperlink" Id="rId4"/>
    <Relationship TargetMode="External" Target="https://mp.weixin.qq.com/s?__biz=MzA5MzM5MzcyMg%3D%3D&amp;mid=2650805228&amp;idx=4&amp;sn=80e74bd4fcb65493b0e3ff99988f6fd6&amp;chksm=8baa35b9bcddbcaf4985be1e9e19d4443383e2c187d0123d8d1b9b7f6c76450d14807679b33c&amp;scene=27" Type="http://schemas.openxmlformats.org/officeDocument/2006/relationships/hyperlink" Id="rId5"/>
    <Relationship TargetMode="External" Target="https://mp.weixin.qq.com/s?__biz=MzI4MDAwMTM2OA%3D%3D&amp;mid=2649522698&amp;idx=1&amp;sn=20d20ff9ccf33592482ce537d393d1d6&amp;chksm=f3a70c3dc4d0852bf072f2515ed9c017e783fed3d5c7f69e08456d15a8590fcefd1aaccdd315&amp;scene=27" Type="http://schemas.openxmlformats.org/officeDocument/2006/relationships/hyperlink" Id="rId6"/>
    <Relationship TargetMode="External" Target="https://mp.weixin.qq.com/s?__biz=MzA3NjA4MTE3Ng%3D%3D&amp;mid=2650600154&amp;idx=2&amp;sn=786998dd4831accbd465602e8b10457d&amp;chksm=864d72c028a8f8cc1e240eb40d4c0b0e20fb855082a33f98fd18500ff0282a41060448a3c279&amp;scene=27" Type="http://schemas.openxmlformats.org/officeDocument/2006/relationships/hyperlink" Id="rId7"/>
    <Relationship TargetMode="External" Target="https://www.nature.com/articles/s41598-024-78938-7.pdf" Type="http://schemas.openxmlformats.org/officeDocument/2006/relationships/hyperlink" Id="rId8"/>
    <Relationship TargetMode="External" Target="https://mp.weixin.qq.com/s?__biz=Mzg3MTUyNjgxOQ%3D%3D&amp;mid=2247485086&amp;idx=1&amp;sn=6dcae934eff2bf0cd4cbb919a8d35f96&amp;chksm=cefc7e52f98bf7442ccb1979ab318b76e5e25fb6dbe21c53dea0722ca4d41d950bbb4a99837f&amp;scene=27" Type="http://schemas.openxmlformats.org/officeDocument/2006/relationships/hyperlink" Id="rId9"/>
    <Relationship TargetMode="External" Target="https://s.wanfangdata.com.cn/paper?q=%E4%BB%8E%E8%82%9D%E8%84%BE%E8%82%BE%E4%BC%A0%E5%8F%98%E8%AE%BA%E6%A1%A5%E6%9C%AC%E7%94%B2%E7%8A%B6%E8%85%BA%E7%82%8E%E7%97%85%E7%A8%8B%E8%BF%9B%E5%B1%95" Type="http://schemas.openxmlformats.org/officeDocument/2006/relationships/hyperlink" Id="rId10"/>
    <Relationship TargetMode="External" Target="https://hashimotoshealing.com/understanding-hashimotos-antibodies/" Type="http://schemas.openxmlformats.org/officeDocument/2006/relationships/hyperlink" Id="rId11"/>
    <Relationship TargetMode="External" Target="https://www.nature.com/articles/s41598-025-90467-5.pdf" Type="http://schemas.openxmlformats.org/officeDocument/2006/relationships/hyperlink" Id="rId12"/>
    <Relationship TargetMode="External" Target="https://s.wanfangdata.com.cn/paper?q=%E6%A1%A5%E6%9C%AC%E6%B0%8F%E7%94%B2%E7%8A%B6%E8%85%BA%E7%82%8E%E6%82%A3%E8%80%85%E8%A1%80%E6%B8%85TPOAb%E3%80%81TgAb%E6%B0%B4%E5%B9%B3%E4%B8%8E%E7%97%85%E6%83%85%E7%9A%84%E7%9B%B8%E5%85%B3%E6%80%A7%E5%88%86%E6%9E%90" Type="http://schemas.openxmlformats.org/officeDocument/2006/relationships/hyperlink" Id="rId13"/>
    <Relationship TargetMode="External" Target="https://www.sohu.com/a/853746308_121927000" Type="http://schemas.openxmlformats.org/officeDocument/2006/relationships/hyperlink" Id="rId14"/>
    <Relationship TargetMode="External" Target="https://zhuanlan.zhihu.com/p/24888242" Type="http://schemas.openxmlformats.org/officeDocument/2006/relationships/hyperlink" Id="rId15"/>
    <Relationship TargetMode="External" Target="https://s.wanfangdata.com.cn/paper?q=%E6%A1%A5%E6%9C%AC%E7%94%B2%E7%8A%B6%E8%85%BA%E7%82%8E%E6%82%A3%E8%80%85%E7%94%B2%E7%8A%B6%E8%85%BA%E8%82%BF%E5%A4%A7%E7%A8%8B%E5%BA%A6%E4%B8%8E%E8%87%AA%E8%BA%AB%E6%8A%97%E4%BD%93%E5%8F%8A%E7%BB%84%E7%BB%87%E5%AD%A6%E6%94%B9%E5%8F%98%E7%9A%84%E5%85%B3%E7%B3%BB" Type="http://schemas.openxmlformats.org/officeDocument/2006/relationships/hyperlink" Id="rId16"/>
    <Relationship TargetMode="External" Target="https://mp.weixin.qq.com/s?__biz=MzU1NTgyMjM2MQ%3D%3D&amp;mid=2247511769&amp;idx=3&amp;sn=fa4e25613a6d3b54c92c4fc6202d6cad&amp;chksm=fa7837d00efcc4f1cb1a2ae3222d513fe3be967012b88fa97625aa01f0f048a93a51fe563ac7&amp;scene=27" Type="http://schemas.openxmlformats.org/officeDocument/2006/relationships/hyperlink" Id="rId17"/>
    <Relationship TargetMode="External" Target="https://s.wanfangdata.com.cn/paper?q=%E7%94%B2%E7%8A%B6%E8%85%BA%E8%87%AA%E8%BA%AB%E6%8A%97%E4%BD%93%E5%9C%A8%E5%85%8D%E7%96%AB%E6%80%A7%E7%94%B2%E7%8A%B6%E8%85%BA%E7%96%BE%E7%97%85%E4%B8%AD%E7%9A%84%E4%B8%B4%E5%BA%8A%E6%84%8F%E4%B9%89" Type="http://schemas.openxmlformats.org/officeDocument/2006/relationships/hyperlink" Id="rId18"/>
    <Relationship Target="header.xml" Type="http://schemas.openxmlformats.org/officeDocument/2006/relationships/header" Id="rId19"/>
    <Relationship Target="footer.xml" Type="http://schemas.openxmlformats.org/officeDocument/2006/relationships/footer" Id="rId20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