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negócio: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Análise de gastos de parlamentares e lideranças de partido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Grãos: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nome(parlamentar/liderança), cpf do parlamentar, cod_parlamentar, n_carteira_parlamentar, uf_parlamentar, sigla_partido_parlamentar, num_sub_cota, descricao_sub_cota, num_esp_cota, descricao_esp_cota, descricao_fornecedor, cpfcnpj_fornecedor, dt_emissao, valor_documento, valor_liquido, valor_glosa, indTipoDocumento, num_parcela, url_documento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Dimensões: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dim_parlamentar_lideranca(nome_parlamentar, cpf, cod_parlamentar, n_carteira_parlamentar, uf_parlamentar, uf_parlamentar, sigla_parlamentar);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dim_subcota(num_sub_cota, descricao_sub_cota);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dim_especificacao_cota(num_esp_cota, descricao_esp_cota);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dim_fornecedor(cnpj_fornecedor, descricao_fornecedor)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dim_tipo_documento(descricao)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Fato: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analise_emendas(id_dim_parlamentar_lideranca, id_dim_subcota, id_dim_especificacao_cota, id_dim_fonecedor, id_tipo_documento, valor_documento, valor_liquido, valor_glosa, num_parcela, url_doc)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