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FF" w:rsidRDefault="000706D6">
      <w:pPr>
        <w:spacing w:after="377" w:line="259" w:lineRule="auto"/>
        <w:ind w:left="2756" w:firstLine="0"/>
        <w:jc w:val="left"/>
      </w:pPr>
      <w:r>
        <w:rPr>
          <w:sz w:val="18"/>
        </w:rPr>
        <w:t xml:space="preserve">REVIEW OF SCIENTIFIC INSTRUMENTS </w:t>
      </w:r>
      <w:r>
        <w:rPr>
          <w:b/>
          <w:sz w:val="18"/>
        </w:rPr>
        <w:t>82</w:t>
      </w:r>
      <w:r>
        <w:rPr>
          <w:sz w:val="18"/>
        </w:rPr>
        <w:t>, 016102 (2011)</w:t>
      </w:r>
    </w:p>
    <w:p w:rsidR="007B2AFF" w:rsidRDefault="00A04F16">
      <w:pPr>
        <w:spacing w:after="22" w:line="259" w:lineRule="auto"/>
        <w:ind w:left="0" w:firstLine="0"/>
        <w:jc w:val="left"/>
      </w:pPr>
      <w:hyperlink r:id="rId6">
        <w:r w:rsidR="00C81D50">
          <w:rPr>
            <w:rFonts w:ascii="微软雅黑" w:eastAsia="微软雅黑" w:hAnsi="微软雅黑" w:cs="微软雅黑" w:hint="eastAsia"/>
            <w:b/>
            <w:color w:val="0000FF"/>
            <w:sz w:val="28"/>
          </w:rPr>
          <w:t>N</w:t>
        </w:r>
        <w:r w:rsidR="00C81D50">
          <w:rPr>
            <w:rFonts w:ascii="微软雅黑" w:eastAsia="微软雅黑" w:hAnsi="微软雅黑" w:cs="微软雅黑"/>
            <w:b/>
            <w:color w:val="0000FF"/>
            <w:sz w:val="28"/>
          </w:rPr>
          <w:t>OTE</w:t>
        </w:r>
        <w:r w:rsidR="00E77A6F" w:rsidRPr="00E77A6F">
          <w:rPr>
            <w:rFonts w:ascii="微软雅黑" w:eastAsia="微软雅黑" w:hAnsi="微软雅黑" w:cs="微软雅黑" w:hint="eastAsia"/>
            <w:b/>
            <w:color w:val="0000FF"/>
            <w:sz w:val="28"/>
          </w:rPr>
          <w:t>：可扩展的多光子</w:t>
        </w:r>
        <w:r w:rsidR="001F7124">
          <w:rPr>
            <w:rFonts w:ascii="微软雅黑" w:eastAsia="微软雅黑" w:hAnsi="微软雅黑" w:cs="微软雅黑" w:hint="eastAsia"/>
            <w:b/>
            <w:color w:val="0000FF"/>
            <w:sz w:val="28"/>
          </w:rPr>
          <w:t>符</w:t>
        </w:r>
        <w:r w:rsidR="00E77A6F" w:rsidRPr="00E77A6F">
          <w:rPr>
            <w:rFonts w:ascii="微软雅黑" w:eastAsia="微软雅黑" w:hAnsi="微软雅黑" w:cs="微软雅黑" w:hint="eastAsia"/>
            <w:b/>
            <w:color w:val="0000FF"/>
            <w:sz w:val="28"/>
          </w:rPr>
          <w:t>合计数电子器件</w:t>
        </w:r>
      </w:hyperlink>
    </w:p>
    <w:p w:rsidR="007B2AFF" w:rsidRDefault="000706D6">
      <w:pPr>
        <w:spacing w:after="0" w:line="259" w:lineRule="auto"/>
        <w:ind w:firstLine="0"/>
        <w:jc w:val="left"/>
      </w:pPr>
      <w:r>
        <w:rPr>
          <w:rFonts w:ascii="Arial" w:eastAsia="Arial" w:hAnsi="Arial" w:cs="Arial"/>
        </w:rPr>
        <w:t>D. Branning,</w:t>
      </w:r>
      <w:r>
        <w:rPr>
          <w:rFonts w:ascii="Arial" w:eastAsia="Arial" w:hAnsi="Arial" w:cs="Arial"/>
          <w:vertAlign w:val="superscript"/>
        </w:rPr>
        <w:t xml:space="preserve">1 </w:t>
      </w:r>
      <w:r>
        <w:rPr>
          <w:rFonts w:ascii="Arial" w:eastAsia="Arial" w:hAnsi="Arial" w:cs="Arial"/>
        </w:rPr>
        <w:t>S. Khanal,</w:t>
      </w:r>
      <w:r>
        <w:rPr>
          <w:rFonts w:ascii="Arial" w:eastAsia="Arial" w:hAnsi="Arial" w:cs="Arial"/>
          <w:vertAlign w:val="superscript"/>
        </w:rPr>
        <w:t xml:space="preserve">1 </w:t>
      </w:r>
      <w:r>
        <w:rPr>
          <w:rFonts w:ascii="Arial" w:eastAsia="Arial" w:hAnsi="Arial" w:cs="Arial"/>
        </w:rPr>
        <w:t>Y. H. Shin,</w:t>
      </w:r>
      <w:r>
        <w:rPr>
          <w:rFonts w:ascii="Arial" w:eastAsia="Arial" w:hAnsi="Arial" w:cs="Arial"/>
          <w:vertAlign w:val="superscript"/>
        </w:rPr>
        <w:t xml:space="preserve">1 </w:t>
      </w:r>
      <w:r>
        <w:rPr>
          <w:rFonts w:ascii="Arial" w:eastAsia="Arial" w:hAnsi="Arial" w:cs="Arial"/>
        </w:rPr>
        <w:t>B. Clary,</w:t>
      </w:r>
      <w:r>
        <w:rPr>
          <w:rFonts w:ascii="Arial" w:eastAsia="Arial" w:hAnsi="Arial" w:cs="Arial"/>
          <w:vertAlign w:val="superscript"/>
        </w:rPr>
        <w:t xml:space="preserve">1 </w:t>
      </w:r>
      <w:r>
        <w:rPr>
          <w:rFonts w:ascii="Arial" w:eastAsia="Arial" w:hAnsi="Arial" w:cs="Arial"/>
        </w:rPr>
        <w:t>and M. Beck</w:t>
      </w:r>
      <w:r>
        <w:rPr>
          <w:rFonts w:ascii="Arial" w:eastAsia="Arial" w:hAnsi="Arial" w:cs="Arial"/>
          <w:vertAlign w:val="superscript"/>
        </w:rPr>
        <w:t>2</w:t>
      </w:r>
    </w:p>
    <w:p w:rsidR="007B2AFF" w:rsidRDefault="000706D6">
      <w:pPr>
        <w:spacing w:after="0" w:line="259" w:lineRule="auto"/>
        <w:ind w:left="712" w:hanging="10"/>
        <w:jc w:val="left"/>
      </w:pPr>
      <w:r>
        <w:rPr>
          <w:sz w:val="18"/>
          <w:vertAlign w:val="superscript"/>
        </w:rPr>
        <w:t>1</w:t>
      </w:r>
      <w:r>
        <w:rPr>
          <w:i/>
          <w:sz w:val="18"/>
        </w:rPr>
        <w:t>Department of Physics, Trinity College, 300 Summit St., Hartford, Connecticut 06106, USA</w:t>
      </w:r>
    </w:p>
    <w:p w:rsidR="007B2AFF" w:rsidRDefault="000706D6">
      <w:pPr>
        <w:spacing w:after="172" w:line="259" w:lineRule="auto"/>
        <w:ind w:left="712" w:hanging="10"/>
        <w:jc w:val="left"/>
      </w:pPr>
      <w:r>
        <w:rPr>
          <w:sz w:val="18"/>
          <w:vertAlign w:val="superscript"/>
        </w:rPr>
        <w:t>2</w:t>
      </w:r>
      <w:r>
        <w:rPr>
          <w:i/>
          <w:sz w:val="18"/>
        </w:rPr>
        <w:t>Department of Physics, Whitman College, Walla Walla, Washington 99362, USA</w:t>
      </w:r>
    </w:p>
    <w:p w:rsidR="007B2AFF" w:rsidRDefault="000706D6">
      <w:pPr>
        <w:spacing w:after="113"/>
        <w:ind w:firstLine="0"/>
      </w:pPr>
      <w:r>
        <w:t>(Received 30 September 2010; accepted 14 November 2010; published online 18 January 2011)</w:t>
      </w:r>
    </w:p>
    <w:p w:rsidR="007B2AFF" w:rsidRDefault="00E77A6F">
      <w:pPr>
        <w:ind w:firstLine="0"/>
      </w:pPr>
      <w:r w:rsidRPr="00E77A6F">
        <w:rPr>
          <w:rFonts w:ascii="宋体" w:eastAsia="宋体" w:hAnsi="宋体" w:cs="宋体" w:hint="eastAsia"/>
        </w:rPr>
        <w:t>我们提出了一个用于量子光学实验的多通道重合计数模块。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该电路最多需要</w:t>
      </w:r>
      <w:r w:rsidRPr="00E77A6F">
        <w:t>4</w:t>
      </w:r>
      <w:r w:rsidRPr="00E77A6F">
        <w:rPr>
          <w:rFonts w:ascii="宋体" w:eastAsia="宋体" w:hAnsi="宋体" w:cs="宋体" w:hint="eastAsia"/>
        </w:rPr>
        <w:t>个晶体管</w:t>
      </w:r>
      <w:r w:rsidRPr="00E77A6F">
        <w:t xml:space="preserve"> - </w:t>
      </w:r>
      <w:r w:rsidRPr="00E77A6F">
        <w:rPr>
          <w:rFonts w:ascii="宋体" w:eastAsia="宋体" w:hAnsi="宋体" w:cs="宋体" w:hint="eastAsia"/>
        </w:rPr>
        <w:t>晶体管逻辑脉冲输入，并且在用户</w:t>
      </w:r>
      <w:bookmarkStart w:id="0" w:name="_GoBack"/>
      <w:bookmarkEnd w:id="0"/>
      <w:r w:rsidRPr="00E77A6F">
        <w:rPr>
          <w:rFonts w:ascii="宋体" w:eastAsia="宋体" w:hAnsi="宋体" w:cs="宋体" w:hint="eastAsia"/>
        </w:rPr>
        <w:t>选择的重合时间窗口内可以计算两倍，三倍或四倍的重合，最短时间为</w:t>
      </w:r>
      <w:r w:rsidRPr="00E77A6F">
        <w:t>12 ns</w:t>
      </w:r>
      <w:r w:rsidRPr="00E77A6F">
        <w:rPr>
          <w:rFonts w:ascii="宋体" w:eastAsia="宋体" w:hAnsi="宋体" w:cs="宋体" w:hint="eastAsia"/>
        </w:rPr>
        <w:t>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该模块可以精确计数八组多通道符合，输入速率高达</w:t>
      </w:r>
      <w:r w:rsidRPr="00E77A6F">
        <w:t>84 MHz</w:t>
      </w:r>
      <w:r w:rsidRPr="00E77A6F">
        <w:rPr>
          <w:rFonts w:ascii="宋体" w:eastAsia="宋体" w:hAnsi="宋体" w:cs="宋体" w:hint="eastAsia"/>
        </w:rPr>
        <w:t>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由于其成本低，体积小，多个模块可以很容易地组合在一起，以计算</w:t>
      </w:r>
      <w:r w:rsidRPr="00E77A6F">
        <w:t>N</w:t>
      </w:r>
      <w:proofErr w:type="gramStart"/>
      <w:r w:rsidRPr="00E77A6F">
        <w:rPr>
          <w:rFonts w:ascii="宋体" w:eastAsia="宋体" w:hAnsi="宋体" w:cs="宋体" w:hint="eastAsia"/>
        </w:rPr>
        <w:t>个</w:t>
      </w:r>
      <w:proofErr w:type="gramEnd"/>
      <w:r w:rsidRPr="00E77A6F">
        <w:rPr>
          <w:rFonts w:ascii="宋体" w:eastAsia="宋体" w:hAnsi="宋体" w:cs="宋体" w:hint="eastAsia"/>
        </w:rPr>
        <w:t>输入之间的任意</w:t>
      </w:r>
      <w:r w:rsidRPr="00E77A6F">
        <w:t>M</w:t>
      </w:r>
      <w:r w:rsidRPr="00E77A6F">
        <w:rPr>
          <w:rFonts w:ascii="宋体" w:eastAsia="宋体" w:hAnsi="宋体" w:cs="宋体" w:hint="eastAsia"/>
        </w:rPr>
        <w:t>阶重合。</w:t>
      </w:r>
      <w:r w:rsidR="000706D6">
        <w:t xml:space="preserve"> </w:t>
      </w:r>
      <w:r w:rsidR="000706D6">
        <w:rPr>
          <w:i/>
        </w:rPr>
        <w:t>© 2011 American Institute of Physics</w:t>
      </w:r>
      <w:r w:rsidR="000706D6">
        <w:t>. [doi:</w:t>
      </w:r>
      <w:hyperlink r:id="rId7">
        <w:r w:rsidR="000706D6">
          <w:rPr>
            <w:color w:val="0000FF"/>
          </w:rPr>
          <w:t>10.1063/1.3524571</w:t>
        </w:r>
      </w:hyperlink>
      <w:hyperlink r:id="rId8">
        <w:r w:rsidR="000706D6">
          <w:t>]</w:t>
        </w:r>
      </w:hyperlink>
    </w:p>
    <w:p w:rsidR="007B2AFF" w:rsidRDefault="007B2AFF">
      <w:pPr>
        <w:sectPr w:rsidR="007B2AFF">
          <w:footerReference w:type="even" r:id="rId9"/>
          <w:footerReference w:type="default" r:id="rId10"/>
          <w:footerReference w:type="first" r:id="rId11"/>
          <w:pgSz w:w="12240" w:h="15840"/>
          <w:pgMar w:top="560" w:right="2473" w:bottom="742" w:left="1040" w:header="720" w:footer="127" w:gutter="0"/>
          <w:cols w:space="720"/>
        </w:sectPr>
      </w:pPr>
    </w:p>
    <w:p w:rsidR="007B2AFF" w:rsidRDefault="00E77A6F">
      <w:pPr>
        <w:spacing w:after="49"/>
        <w:ind w:left="-15"/>
      </w:pPr>
      <w:r>
        <w:rPr>
          <w:rFonts w:ascii="宋体" w:eastAsia="宋体" w:hAnsi="宋体" w:cs="宋体" w:hint="eastAsia"/>
        </w:rPr>
        <w:lastRenderedPageBreak/>
        <w:t>符合</w:t>
      </w:r>
      <w:r w:rsidRPr="00E77A6F">
        <w:rPr>
          <w:rFonts w:ascii="宋体" w:eastAsia="宋体" w:hAnsi="宋体" w:cs="宋体" w:hint="eastAsia"/>
        </w:rPr>
        <w:t>计数是在不同检测器上同时检测两个或更多</w:t>
      </w:r>
      <w:proofErr w:type="gramStart"/>
      <w:r w:rsidRPr="00E77A6F">
        <w:rPr>
          <w:rFonts w:ascii="宋体" w:eastAsia="宋体" w:hAnsi="宋体" w:cs="宋体" w:hint="eastAsia"/>
        </w:rPr>
        <w:t>个</w:t>
      </w:r>
      <w:proofErr w:type="gramEnd"/>
      <w:r w:rsidRPr="00E77A6F">
        <w:rPr>
          <w:rFonts w:ascii="宋体" w:eastAsia="宋体" w:hAnsi="宋体" w:cs="宋体" w:hint="eastAsia"/>
        </w:rPr>
        <w:t>粒子。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虽然这种技术在实验物理中被广泛使用，但在量子光学中起着特别重要的作用。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光子的巧合计数是探索和</w:t>
      </w:r>
      <w:r w:rsidRPr="00E77A6F">
        <w:t>/</w:t>
      </w:r>
      <w:r w:rsidRPr="00E77A6F">
        <w:rPr>
          <w:rFonts w:ascii="宋体" w:eastAsia="宋体" w:hAnsi="宋体" w:cs="宋体" w:hint="eastAsia"/>
        </w:rPr>
        <w:t>或利用相关光源非经典特征的重要工具。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许多这样的实验只需要一组双重</w:t>
      </w:r>
      <w:r>
        <w:rPr>
          <w:rFonts w:ascii="宋体" w:eastAsia="宋体" w:hAnsi="宋体" w:cs="宋体" w:hint="eastAsia"/>
        </w:rPr>
        <w:t>符合</w:t>
      </w:r>
      <w:proofErr w:type="gramStart"/>
      <w:r w:rsidRPr="00E77A6F">
        <w:rPr>
          <w:rFonts w:ascii="宋体" w:eastAsia="宋体" w:hAnsi="宋体" w:cs="宋体" w:hint="eastAsia"/>
        </w:rPr>
        <w:t>合</w:t>
      </w:r>
      <w:proofErr w:type="gramEnd"/>
      <w:r w:rsidRPr="00E77A6F">
        <w:rPr>
          <w:rFonts w:ascii="宋体" w:eastAsia="宋体" w:hAnsi="宋体" w:cs="宋体" w:hint="eastAsia"/>
        </w:rPr>
        <w:t>测量，而对于其他实验，则需要计算多个检测器之间的多光子</w:t>
      </w:r>
      <w:r>
        <w:rPr>
          <w:rFonts w:ascii="宋体" w:eastAsia="宋体" w:hAnsi="宋体" w:cs="宋体" w:hint="eastAsia"/>
        </w:rPr>
        <w:t>符合</w:t>
      </w:r>
      <w:proofErr w:type="gramStart"/>
      <w:r w:rsidRPr="00E77A6F">
        <w:rPr>
          <w:rFonts w:ascii="宋体" w:eastAsia="宋体" w:hAnsi="宋体" w:cs="宋体" w:hint="eastAsia"/>
        </w:rPr>
        <w:t>合</w:t>
      </w:r>
      <w:proofErr w:type="gramEnd"/>
      <w:r w:rsidRPr="00E77A6F">
        <w:rPr>
          <w:rFonts w:ascii="宋体" w:eastAsia="宋体" w:hAnsi="宋体" w:cs="宋体" w:hint="eastAsia"/>
        </w:rPr>
        <w:t>。</w:t>
      </w:r>
      <w:r w:rsidR="000706D6">
        <w:rPr>
          <w:color w:val="0000FF"/>
          <w:vertAlign w:val="superscript"/>
        </w:rPr>
        <w:t>1</w:t>
      </w:r>
      <w:r w:rsidR="000706D6">
        <w:rPr>
          <w:vertAlign w:val="superscript"/>
        </w:rPr>
        <w:t>–</w:t>
      </w:r>
      <w:r w:rsidR="000706D6">
        <w:rPr>
          <w:color w:val="0000FF"/>
          <w:vertAlign w:val="superscript"/>
        </w:rPr>
        <w:t>3</w:t>
      </w:r>
    </w:p>
    <w:p w:rsidR="007B2AFF" w:rsidRDefault="00E77A6F" w:rsidP="00E77A6F">
      <w:pPr>
        <w:ind w:left="-15"/>
      </w:pPr>
      <w:r w:rsidRPr="00E77A6F">
        <w:rPr>
          <w:rFonts w:ascii="宋体" w:eastAsia="宋体" w:hAnsi="宋体" w:cs="宋体" w:hint="eastAsia"/>
        </w:rPr>
        <w:t>历史上，最常见的符合计数方法是使用时间</w:t>
      </w:r>
      <w:r w:rsidRPr="00E77A6F">
        <w:t xml:space="preserve"> - </w:t>
      </w:r>
      <w:r w:rsidRPr="00E77A6F">
        <w:rPr>
          <w:rFonts w:ascii="宋体" w:eastAsia="宋体" w:hAnsi="宋体" w:cs="宋体" w:hint="eastAsia"/>
        </w:rPr>
        <w:t>幅度转换器（</w:t>
      </w:r>
      <w:r w:rsidRPr="00E77A6F">
        <w:t>TAC</w:t>
      </w:r>
      <w:r w:rsidRPr="00E77A6F">
        <w:rPr>
          <w:rFonts w:ascii="宋体" w:eastAsia="宋体" w:hAnsi="宋体" w:cs="宋体" w:hint="eastAsia"/>
        </w:rPr>
        <w:t>），每个</w:t>
      </w:r>
      <w:r w:rsidRPr="00E77A6F">
        <w:t>TAC</w:t>
      </w:r>
      <w:r w:rsidRPr="00E77A6F">
        <w:rPr>
          <w:rFonts w:ascii="宋体" w:eastAsia="宋体" w:hAnsi="宋体" w:cs="宋体" w:hint="eastAsia"/>
        </w:rPr>
        <w:t>增加了再次计数一对光子的能力。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多光子或多通道重合计数很快就会变得麻烦而且昂贵，而且最大重合计数率受到每次启动</w:t>
      </w:r>
      <w:r w:rsidRPr="00E77A6F">
        <w:t>/</w:t>
      </w:r>
      <w:r w:rsidRPr="00E77A6F">
        <w:rPr>
          <w:rFonts w:ascii="宋体" w:eastAsia="宋体" w:hAnsi="宋体" w:cs="宋体" w:hint="eastAsia"/>
        </w:rPr>
        <w:t>停止事件所需的转换时间的限制，一般为</w:t>
      </w:r>
      <w:r w:rsidRPr="00E77A6F">
        <w:rPr>
          <w:rFonts w:ascii="微软雅黑" w:eastAsia="微软雅黑" w:hAnsi="微软雅黑" w:cs="微软雅黑" w:hint="eastAsia"/>
        </w:rPr>
        <w:t>〜</w:t>
      </w:r>
      <w:r w:rsidRPr="00E77A6F">
        <w:t>1μs</w:t>
      </w:r>
      <w:r w:rsidRPr="00E77A6F">
        <w:rPr>
          <w:rFonts w:ascii="宋体" w:eastAsia="宋体" w:hAnsi="宋体" w:cs="宋体" w:hint="eastAsia"/>
        </w:rPr>
        <w:t>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近年来，针对这些问题的几种解决方案已经发展到特定的应用，包括量子信息处理，</w:t>
      </w:r>
      <w:r w:rsidR="000706D6">
        <w:rPr>
          <w:color w:val="0000FF"/>
          <w:vertAlign w:val="superscript"/>
        </w:rPr>
        <w:t>4</w:t>
      </w:r>
      <w:r w:rsidR="000706D6">
        <w:rPr>
          <w:vertAlign w:val="superscript"/>
        </w:rPr>
        <w:t>–</w:t>
      </w:r>
      <w:r w:rsidR="000706D6">
        <w:rPr>
          <w:color w:val="0000FF"/>
          <w:vertAlign w:val="superscript"/>
        </w:rPr>
        <w:t xml:space="preserve">6 </w:t>
      </w:r>
      <w:r w:rsidRPr="00E77A6F">
        <w:rPr>
          <w:rFonts w:ascii="宋体" w:eastAsia="宋体" w:hAnsi="宋体" w:cs="宋体" w:hint="eastAsia"/>
        </w:rPr>
        <w:t>荧光测量，</w:t>
      </w:r>
      <w:r w:rsidR="000706D6">
        <w:rPr>
          <w:color w:val="0000FF"/>
          <w:vertAlign w:val="superscript"/>
        </w:rPr>
        <w:t>7</w:t>
      </w:r>
      <w:r w:rsidR="000706D6">
        <w:rPr>
          <w:vertAlign w:val="superscript"/>
        </w:rPr>
        <w:t>,</w:t>
      </w:r>
      <w:r w:rsidR="000706D6">
        <w:rPr>
          <w:color w:val="0000FF"/>
          <w:vertAlign w:val="superscript"/>
        </w:rPr>
        <w:t>8</w:t>
      </w:r>
      <w:r w:rsidRPr="00E77A6F">
        <w:t xml:space="preserve"> </w:t>
      </w:r>
      <w:r w:rsidRPr="00E77A6F">
        <w:rPr>
          <w:color w:val="0000FF"/>
          <w:vertAlign w:val="superscript"/>
        </w:rPr>
        <w:t>X-</w:t>
      </w:r>
      <w:r w:rsidRPr="00E77A6F">
        <w:rPr>
          <w:rFonts w:ascii="宋体" w:eastAsia="宋体" w:hAnsi="宋体" w:cs="宋体" w:hint="eastAsia"/>
          <w:color w:val="0000FF"/>
          <w:vertAlign w:val="superscript"/>
        </w:rPr>
        <w:t>射线显微镜，</w:t>
      </w:r>
      <w:r w:rsidR="000706D6">
        <w:rPr>
          <w:color w:val="0000FF"/>
          <w:vertAlign w:val="superscript"/>
        </w:rPr>
        <w:t xml:space="preserve">9 </w:t>
      </w:r>
      <w:r w:rsidRPr="00E77A6F">
        <w:rPr>
          <w:rFonts w:ascii="宋体" w:eastAsia="宋体" w:hAnsi="宋体" w:cs="宋体" w:hint="eastAsia"/>
        </w:rPr>
        <w:t>和物理教育。</w:t>
      </w:r>
      <w:r w:rsidR="000706D6">
        <w:rPr>
          <w:color w:val="0000FF"/>
          <w:vertAlign w:val="superscript"/>
        </w:rPr>
        <w:t>10</w:t>
      </w:r>
      <w:r w:rsidR="000706D6">
        <w:rPr>
          <w:vertAlign w:val="superscript"/>
        </w:rPr>
        <w:t>,</w:t>
      </w:r>
      <w:r w:rsidR="000706D6">
        <w:rPr>
          <w:color w:val="0000FF"/>
          <w:vertAlign w:val="superscript"/>
        </w:rPr>
        <w:t>11</w:t>
      </w:r>
    </w:p>
    <w:p w:rsidR="007B2AFF" w:rsidRDefault="00E77A6F">
      <w:pPr>
        <w:spacing w:after="41"/>
        <w:ind w:left="-15"/>
      </w:pPr>
      <w:r w:rsidRPr="00E77A6F">
        <w:rPr>
          <w:rFonts w:ascii="宋体" w:eastAsia="宋体" w:hAnsi="宋体" w:cs="宋体" w:hint="eastAsia"/>
        </w:rPr>
        <w:t>在这里，我们介绍一个新的多通道重合计数模块（</w:t>
      </w:r>
      <w:r w:rsidRPr="00E77A6F">
        <w:t>CCM</w:t>
      </w:r>
      <w:r w:rsidRPr="00E77A6F">
        <w:rPr>
          <w:rFonts w:ascii="宋体" w:eastAsia="宋体" w:hAnsi="宋体" w:cs="宋体" w:hint="eastAsia"/>
        </w:rPr>
        <w:t>）的细节，可以使用现成的集成电路元件以低于</w:t>
      </w:r>
      <w:r w:rsidRPr="00E77A6F">
        <w:t>600</w:t>
      </w:r>
      <w:r w:rsidRPr="00E77A6F">
        <w:rPr>
          <w:rFonts w:ascii="宋体" w:eastAsia="宋体" w:hAnsi="宋体" w:cs="宋体" w:hint="eastAsia"/>
        </w:rPr>
        <w:t>美元的价格建造。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从多达四个晶体管</w:t>
      </w:r>
      <w:r w:rsidRPr="00E77A6F">
        <w:t xml:space="preserve"> - </w:t>
      </w:r>
      <w:r w:rsidRPr="00E77A6F">
        <w:rPr>
          <w:rFonts w:ascii="宋体" w:eastAsia="宋体" w:hAnsi="宋体" w:cs="宋体" w:hint="eastAsia"/>
        </w:rPr>
        <w:t>晶体管逻辑（</w:t>
      </w:r>
      <w:r w:rsidRPr="00E77A6F">
        <w:t>TTL</w:t>
      </w:r>
      <w:r w:rsidRPr="00E77A6F">
        <w:rPr>
          <w:rFonts w:ascii="宋体" w:eastAsia="宋体" w:hAnsi="宋体" w:cs="宋体" w:hint="eastAsia"/>
        </w:rPr>
        <w:t>）信号作为输入开始，</w:t>
      </w:r>
      <w:r w:rsidRPr="00E77A6F">
        <w:t>CCM</w:t>
      </w:r>
      <w:r w:rsidRPr="00E77A6F">
        <w:rPr>
          <w:rFonts w:ascii="宋体" w:eastAsia="宋体" w:hAnsi="宋体" w:cs="宋体" w:hint="eastAsia"/>
        </w:rPr>
        <w:t>可以记录任意两倍，三倍或四倍符合（或单选计数）的组合，其中一个符合窗口短至</w:t>
      </w:r>
      <w:r w:rsidRPr="00E77A6F">
        <w:t>12ns</w:t>
      </w:r>
      <w:r w:rsidRPr="00E77A6F">
        <w:rPr>
          <w:rFonts w:ascii="宋体" w:eastAsia="宋体" w:hAnsi="宋体" w:cs="宋体" w:hint="eastAsia"/>
        </w:rPr>
        <w:t>。</w:t>
      </w:r>
      <w:r w:rsidRPr="00E77A6F">
        <w:t xml:space="preserve"> </w:t>
      </w:r>
      <w:proofErr w:type="gramStart"/>
      <w:r w:rsidRPr="00E77A6F">
        <w:rPr>
          <w:rFonts w:ascii="宋体" w:eastAsia="宋体" w:hAnsi="宋体" w:cs="宋体" w:hint="eastAsia"/>
        </w:rPr>
        <w:t>八个板载寄存器</w:t>
      </w:r>
      <w:proofErr w:type="gramEnd"/>
      <w:r w:rsidRPr="00E77A6F">
        <w:rPr>
          <w:rFonts w:ascii="宋体" w:eastAsia="宋体" w:hAnsi="宋体" w:cs="宋体" w:hint="eastAsia"/>
        </w:rPr>
        <w:t>被编程到一个现场可编程门阵列（</w:t>
      </w:r>
      <w:r w:rsidRPr="00E77A6F">
        <w:t>FPGA</w:t>
      </w:r>
      <w:r w:rsidRPr="00E77A6F">
        <w:rPr>
          <w:rFonts w:ascii="宋体" w:eastAsia="宋体" w:hAnsi="宋体" w:cs="宋体" w:hint="eastAsia"/>
        </w:rPr>
        <w:t>）中，计数用户定义的符合时间间隔为</w:t>
      </w:r>
      <w:r w:rsidRPr="00E77A6F">
        <w:t>20μs</w:t>
      </w:r>
      <w:r w:rsidRPr="00E77A6F">
        <w:rPr>
          <w:rFonts w:ascii="宋体" w:eastAsia="宋体" w:hAnsi="宋体" w:cs="宋体" w:hint="eastAsia"/>
        </w:rPr>
        <w:t>到</w:t>
      </w:r>
      <w:r w:rsidRPr="00E77A6F">
        <w:t>1s</w:t>
      </w:r>
      <w:r w:rsidRPr="00E77A6F">
        <w:rPr>
          <w:rFonts w:ascii="宋体" w:eastAsia="宋体" w:hAnsi="宋体" w:cs="宋体" w:hint="eastAsia"/>
        </w:rPr>
        <w:t>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计数数据通过通用串行总线（</w:t>
      </w:r>
      <w:r w:rsidRPr="00E77A6F">
        <w:t>USB</w:t>
      </w:r>
      <w:r w:rsidRPr="00E77A6F">
        <w:rPr>
          <w:rFonts w:ascii="宋体" w:eastAsia="宋体" w:hAnsi="宋体" w:cs="宋体" w:hint="eastAsia"/>
        </w:rPr>
        <w:t>）接口传输到个人计算机，计数通过免费提供的软件收集，集成，显示和存储到磁盘。</w:t>
      </w:r>
      <w:r w:rsidR="000706D6">
        <w:rPr>
          <w:color w:val="0000FF"/>
          <w:vertAlign w:val="superscript"/>
        </w:rPr>
        <w:t>12</w:t>
      </w:r>
    </w:p>
    <w:p w:rsidR="007B2AFF" w:rsidRDefault="00E77A6F" w:rsidP="00E77A6F">
      <w:pPr>
        <w:ind w:left="-15"/>
      </w:pPr>
      <w:r w:rsidRPr="00E77A6F">
        <w:rPr>
          <w:rFonts w:ascii="宋体" w:eastAsia="宋体" w:hAnsi="宋体" w:cs="宋体" w:hint="eastAsia"/>
        </w:rPr>
        <w:t>为了提高符合时间分辨率，每个探测器信号首先进入一个脉冲整形电路，该脉冲整形电路从通常从商业单光子计数模块（</w:t>
      </w:r>
      <w:r w:rsidRPr="00E77A6F">
        <w:t>SPCM</w:t>
      </w:r>
      <w:r w:rsidRPr="00E77A6F">
        <w:rPr>
          <w:rFonts w:ascii="宋体" w:eastAsia="宋体" w:hAnsi="宋体" w:cs="宋体" w:hint="eastAsia"/>
        </w:rPr>
        <w:t>）获得的</w:t>
      </w:r>
      <w:r w:rsidRPr="00E77A6F">
        <w:t>20-50ns</w:t>
      </w:r>
      <w:r w:rsidRPr="00E77A6F">
        <w:rPr>
          <w:rFonts w:ascii="宋体" w:eastAsia="宋体" w:hAnsi="宋体" w:cs="宋体" w:hint="eastAsia"/>
        </w:rPr>
        <w:t>脉冲宽度减小其宽度。</w:t>
      </w:r>
      <w:r w:rsidR="000706D6">
        <w:rPr>
          <w:color w:val="0000FF"/>
          <w:vertAlign w:val="superscript"/>
        </w:rPr>
        <w:t xml:space="preserve">11 </w:t>
      </w:r>
      <w:r w:rsidRPr="00E77A6F">
        <w:rPr>
          <w:rFonts w:ascii="宋体" w:eastAsia="宋体" w:hAnsi="宋体" w:cs="宋体" w:hint="eastAsia"/>
        </w:rPr>
        <w:t>拨动开关用于选择所有四个输入的整形脉冲的宽度，或者旁路脉冲整形电路，保持脉冲宽度不变。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成</w:t>
      </w:r>
      <w:r w:rsidRPr="00E77A6F">
        <w:rPr>
          <w:rFonts w:ascii="宋体" w:eastAsia="宋体" w:hAnsi="宋体" w:cs="宋体" w:hint="eastAsia"/>
        </w:rPr>
        <w:lastRenderedPageBreak/>
        <w:t>形脉冲具有</w:t>
      </w:r>
      <w:r w:rsidRPr="00E77A6F">
        <w:t>7.5,9.0</w:t>
      </w:r>
      <w:r w:rsidRPr="00E77A6F">
        <w:rPr>
          <w:rFonts w:ascii="宋体" w:eastAsia="宋体" w:hAnsi="宋体" w:cs="宋体" w:hint="eastAsia"/>
        </w:rPr>
        <w:t>或</w:t>
      </w:r>
      <w:r w:rsidRPr="00E77A6F">
        <w:t>11.5ns</w:t>
      </w:r>
      <w:r w:rsidRPr="00E77A6F">
        <w:rPr>
          <w:rFonts w:ascii="宋体" w:eastAsia="宋体" w:hAnsi="宋体" w:cs="宋体" w:hint="eastAsia"/>
        </w:rPr>
        <w:t>（</w:t>
      </w:r>
      <w:r w:rsidRPr="00E77A6F">
        <w:t>±0.5ns</w:t>
      </w:r>
      <w:r w:rsidRPr="00E77A6F">
        <w:rPr>
          <w:rFonts w:ascii="宋体" w:eastAsia="宋体" w:hAnsi="宋体" w:cs="宋体" w:hint="eastAsia"/>
        </w:rPr>
        <w:t>，测量的半高全宽）的可选持续时间。</w:t>
      </w:r>
    </w:p>
    <w:p w:rsidR="007B2AFF" w:rsidRDefault="00E77A6F">
      <w:pPr>
        <w:ind w:left="-15"/>
      </w:pPr>
      <w:r w:rsidRPr="00E77A6F">
        <w:t>CCM</w:t>
      </w:r>
      <w:r w:rsidRPr="00E77A6F">
        <w:rPr>
          <w:rFonts w:ascii="宋体" w:eastAsia="宋体" w:hAnsi="宋体" w:cs="宋体" w:hint="eastAsia"/>
        </w:rPr>
        <w:t>的基本重合判定方法如图</w:t>
      </w:r>
      <w:r w:rsidRPr="00E77A6F">
        <w:t>1</w:t>
      </w:r>
      <w:r w:rsidRPr="00E77A6F">
        <w:rPr>
          <w:rFonts w:ascii="宋体" w:eastAsia="宋体" w:hAnsi="宋体" w:cs="宋体" w:hint="eastAsia"/>
        </w:rPr>
        <w:t>所示。整形信号</w:t>
      </w:r>
      <w:r w:rsidRPr="00E77A6F">
        <w:t>A</w:t>
      </w:r>
      <w:r w:rsidRPr="00E77A6F">
        <w:rPr>
          <w:rFonts w:ascii="宋体" w:eastAsia="宋体" w:hAnsi="宋体" w:cs="宋体" w:hint="eastAsia"/>
        </w:rPr>
        <w:t>，</w:t>
      </w:r>
      <w:r w:rsidRPr="00E77A6F">
        <w:t>B</w:t>
      </w:r>
      <w:r w:rsidRPr="00E77A6F">
        <w:rPr>
          <w:rFonts w:ascii="宋体" w:eastAsia="宋体" w:hAnsi="宋体" w:cs="宋体" w:hint="eastAsia"/>
        </w:rPr>
        <w:t>，</w:t>
      </w:r>
      <w:r w:rsidRPr="00E77A6F">
        <w:t>C</w:t>
      </w:r>
      <w:r w:rsidRPr="00E77A6F">
        <w:rPr>
          <w:rFonts w:ascii="宋体" w:eastAsia="宋体" w:hAnsi="宋体" w:cs="宋体" w:hint="eastAsia"/>
        </w:rPr>
        <w:t>和</w:t>
      </w:r>
      <w:r w:rsidRPr="00E77A6F">
        <w:t>D</w:t>
      </w:r>
      <w:r w:rsidRPr="00E77A6F">
        <w:rPr>
          <w:rFonts w:ascii="宋体" w:eastAsia="宋体" w:hAnsi="宋体" w:cs="宋体" w:hint="eastAsia"/>
        </w:rPr>
        <w:t>被送到或门，然后送到一个四路与门的输入端。</w:t>
      </w:r>
      <w:r w:rsidRPr="00E77A6F">
        <w:t xml:space="preserve"> </w:t>
      </w:r>
      <w:r w:rsidRPr="00E77A6F">
        <w:rPr>
          <w:rFonts w:ascii="宋体" w:eastAsia="宋体" w:hAnsi="宋体" w:cs="宋体" w:hint="eastAsia"/>
        </w:rPr>
        <w:t>当且仅当所有四个输入同时为真</w:t>
      </w:r>
      <w:r>
        <w:rPr>
          <w:rFonts w:ascii="宋体" w:eastAsia="宋体" w:hAnsi="宋体" w:cs="宋体" w:hint="eastAsia"/>
        </w:rPr>
        <w:t>即</w:t>
      </w:r>
      <w:r w:rsidRPr="00E77A6F">
        <w:rPr>
          <w:rFonts w:ascii="宋体" w:eastAsia="宋体" w:hAnsi="宋体" w:cs="宋体" w:hint="eastAsia"/>
        </w:rPr>
        <w:t>四个检测器脉冲同时到达门</w:t>
      </w:r>
      <w:r>
        <w:rPr>
          <w:rFonts w:ascii="宋体" w:eastAsia="宋体" w:hAnsi="宋体" w:cs="宋体" w:hint="eastAsia"/>
        </w:rPr>
        <w:t>时</w:t>
      </w:r>
      <w:r w:rsidRPr="00E77A6F">
        <w:rPr>
          <w:rFonts w:ascii="宋体" w:eastAsia="宋体" w:hAnsi="宋体" w:cs="宋体" w:hint="eastAsia"/>
        </w:rPr>
        <w:t>，与门的输出才为真。</w:t>
      </w:r>
    </w:p>
    <w:p w:rsidR="007B2AFF" w:rsidRDefault="00434BD3">
      <w:pPr>
        <w:ind w:left="-15"/>
      </w:pPr>
      <w:r w:rsidRPr="00434BD3">
        <w:rPr>
          <w:rFonts w:ascii="宋体" w:eastAsia="宋体" w:hAnsi="宋体" w:cs="宋体" w:hint="eastAsia"/>
        </w:rPr>
        <w:t>或门允许用户定义四个检测器信号的任意子集，以便重合计数。</w:t>
      </w:r>
      <w:r w:rsidRPr="00434BD3">
        <w:t xml:space="preserve"> </w:t>
      </w:r>
      <w:r w:rsidRPr="00434BD3">
        <w:rPr>
          <w:rFonts w:ascii="宋体" w:eastAsia="宋体" w:hAnsi="宋体" w:cs="宋体" w:hint="eastAsia"/>
        </w:rPr>
        <w:t>每个或门的第二个输入</w:t>
      </w:r>
      <w:proofErr w:type="gramStart"/>
      <w:r w:rsidRPr="00434BD3">
        <w:rPr>
          <w:rFonts w:ascii="宋体" w:eastAsia="宋体" w:hAnsi="宋体" w:cs="宋体" w:hint="eastAsia"/>
        </w:rPr>
        <w:t>端保持</w:t>
      </w:r>
      <w:proofErr w:type="gramEnd"/>
      <w:r w:rsidRPr="00434BD3">
        <w:rPr>
          <w:rFonts w:ascii="宋体" w:eastAsia="宋体" w:hAnsi="宋体" w:cs="宋体" w:hint="eastAsia"/>
        </w:rPr>
        <w:t>高电平或低电平，由用户通过开关选择。</w:t>
      </w:r>
      <w:r w:rsidRPr="00434BD3">
        <w:t xml:space="preserve"> </w:t>
      </w:r>
      <w:r w:rsidRPr="00434BD3">
        <w:rPr>
          <w:rFonts w:ascii="宋体" w:eastAsia="宋体" w:hAnsi="宋体" w:cs="宋体" w:hint="eastAsia"/>
        </w:rPr>
        <w:t>当任何特定输入的开关为高电平时，该输入被有效地从符合逻辑中移除。</w:t>
      </w:r>
      <w:r w:rsidRPr="00434BD3">
        <w:t xml:space="preserve"> </w:t>
      </w:r>
      <w:r w:rsidRPr="00434BD3">
        <w:rPr>
          <w:rFonts w:ascii="宋体" w:eastAsia="宋体" w:hAnsi="宋体" w:cs="宋体" w:hint="eastAsia"/>
        </w:rPr>
        <w:t>任何与其对应开关的输入都保持低电平，但仍然必须同时到达以使与门的输出为真。</w:t>
      </w:r>
      <w:r w:rsidRPr="00434BD3">
        <w:t xml:space="preserve"> </w:t>
      </w:r>
      <w:r w:rsidRPr="00434BD3">
        <w:rPr>
          <w:rFonts w:ascii="宋体" w:eastAsia="宋体" w:hAnsi="宋体" w:cs="宋体" w:hint="eastAsia"/>
        </w:rPr>
        <w:t>以这种方式，</w:t>
      </w:r>
      <w:r w:rsidRPr="00434BD3">
        <w:t>“</w:t>
      </w:r>
      <w:r w:rsidRPr="00434BD3">
        <w:rPr>
          <w:rFonts w:ascii="宋体" w:eastAsia="宋体" w:hAnsi="宋体" w:cs="宋体" w:hint="eastAsia"/>
        </w:rPr>
        <w:t>与</w:t>
      </w:r>
      <w:r w:rsidRPr="00434BD3">
        <w:t>”</w:t>
      </w:r>
      <w:r w:rsidRPr="00434BD3">
        <w:rPr>
          <w:rFonts w:ascii="宋体" w:eastAsia="宋体" w:hAnsi="宋体" w:cs="宋体" w:hint="eastAsia"/>
        </w:rPr>
        <w:t>门的输出可以确定四个输入之间两个，三个或四个符合的任意组合，或者简单地提供任何一个输入（通过排除其他三个）的单通道输入速率。</w:t>
      </w:r>
      <w:r w:rsidRPr="00434BD3">
        <w:t xml:space="preserve"> </w:t>
      </w:r>
      <w:r w:rsidRPr="00434BD3">
        <w:rPr>
          <w:rFonts w:ascii="宋体" w:eastAsia="宋体" w:hAnsi="宋体" w:cs="宋体" w:hint="eastAsia"/>
        </w:rPr>
        <w:t>有八个四输入与门，每一个的输出都送到一个在</w:t>
      </w:r>
      <w:r w:rsidRPr="00434BD3">
        <w:t>FPGA</w:t>
      </w:r>
      <w:r w:rsidRPr="00434BD3">
        <w:rPr>
          <w:rFonts w:ascii="宋体" w:eastAsia="宋体" w:hAnsi="宋体" w:cs="宋体" w:hint="eastAsia"/>
        </w:rPr>
        <w:t>上实现的计数器的输入端。</w:t>
      </w:r>
      <w:r w:rsidRPr="00434BD3">
        <w:t xml:space="preserve"> </w:t>
      </w:r>
      <w:r w:rsidRPr="00434BD3">
        <w:rPr>
          <w:rFonts w:ascii="宋体" w:eastAsia="宋体" w:hAnsi="宋体" w:cs="宋体" w:hint="eastAsia"/>
        </w:rPr>
        <w:t>每个计数器通过</w:t>
      </w:r>
      <w:r w:rsidRPr="00434BD3">
        <w:t>USB</w:t>
      </w:r>
      <w:r w:rsidRPr="00434BD3">
        <w:rPr>
          <w:rFonts w:ascii="宋体" w:eastAsia="宋体" w:hAnsi="宋体" w:cs="宋体" w:hint="eastAsia"/>
        </w:rPr>
        <w:t>接口定期将记录的计数数量传送到个人计算机（</w:t>
      </w:r>
      <w:r w:rsidRPr="00434BD3">
        <w:t>PC</w:t>
      </w:r>
      <w:r w:rsidRPr="00434BD3">
        <w:rPr>
          <w:rFonts w:ascii="宋体" w:eastAsia="宋体" w:hAnsi="宋体" w:cs="宋体" w:hint="eastAsia"/>
        </w:rPr>
        <w:t>），然后重置以继续计数。</w:t>
      </w:r>
    </w:p>
    <w:p w:rsidR="007B2AFF" w:rsidRDefault="00434BD3">
      <w:pPr>
        <w:ind w:left="-15"/>
      </w:pPr>
      <w:r w:rsidRPr="00434BD3">
        <w:rPr>
          <w:rFonts w:ascii="宋体" w:eastAsia="宋体" w:hAnsi="宋体" w:cs="宋体" w:hint="eastAsia"/>
        </w:rPr>
        <w:t>连接到或门的开关确定哪些符合计数是锁定按钮，带有嵌入的橙色（</w:t>
      </w:r>
      <w:r w:rsidRPr="00434BD3">
        <w:t>590 nm</w:t>
      </w:r>
      <w:r w:rsidRPr="00434BD3">
        <w:rPr>
          <w:rFonts w:ascii="宋体" w:eastAsia="宋体" w:hAnsi="宋体" w:cs="宋体" w:hint="eastAsia"/>
        </w:rPr>
        <w:t>）发光二极管（</w:t>
      </w:r>
      <w:r w:rsidRPr="00434BD3">
        <w:t>LED</w:t>
      </w:r>
      <w:r w:rsidRPr="00434BD3">
        <w:rPr>
          <w:rFonts w:ascii="宋体" w:eastAsia="宋体" w:hAnsi="宋体" w:cs="宋体" w:hint="eastAsia"/>
        </w:rPr>
        <w:t>）。</w:t>
      </w:r>
      <w:r w:rsidRPr="00434BD3">
        <w:t xml:space="preserve"> </w:t>
      </w:r>
      <w:r w:rsidRPr="00434BD3">
        <w:rPr>
          <w:rFonts w:ascii="宋体" w:eastAsia="宋体" w:hAnsi="宋体" w:cs="宋体" w:hint="eastAsia"/>
        </w:rPr>
        <w:t>当按下开关时，中心极接地，</w:t>
      </w:r>
      <w:r w:rsidRPr="00434BD3">
        <w:t>LED</w:t>
      </w:r>
      <w:r w:rsidRPr="00434BD3">
        <w:rPr>
          <w:rFonts w:ascii="宋体" w:eastAsia="宋体" w:hAnsi="宋体" w:cs="宋体" w:hint="eastAsia"/>
        </w:rPr>
        <w:t>点亮，表明相应的输入包含在四路</w:t>
      </w:r>
      <w:r w:rsidRPr="00434BD3">
        <w:t>AND</w:t>
      </w:r>
      <w:r w:rsidRPr="00434BD3">
        <w:rPr>
          <w:rFonts w:ascii="宋体" w:eastAsia="宋体" w:hAnsi="宋体" w:cs="宋体" w:hint="eastAsia"/>
        </w:rPr>
        <w:t>逻辑中。</w:t>
      </w:r>
      <w:r w:rsidRPr="00434BD3">
        <w:t xml:space="preserve"> </w:t>
      </w:r>
      <w:r w:rsidRPr="00434BD3">
        <w:rPr>
          <w:rFonts w:ascii="宋体" w:eastAsia="宋体" w:hAnsi="宋体" w:cs="宋体" w:hint="eastAsia"/>
        </w:rPr>
        <w:t>开关排列成</w:t>
      </w:r>
      <w:r w:rsidRPr="00434BD3">
        <w:t>4×8</w:t>
      </w:r>
      <w:r w:rsidRPr="00434BD3">
        <w:rPr>
          <w:rFonts w:ascii="宋体" w:eastAsia="宋体" w:hAnsi="宋体" w:cs="宋体" w:hint="eastAsia"/>
        </w:rPr>
        <w:t>的网格。</w:t>
      </w:r>
      <w:r w:rsidR="000706D6">
        <w:rPr>
          <w:color w:val="0000FF"/>
          <w:vertAlign w:val="superscript"/>
        </w:rPr>
        <w:t xml:space="preserve">13 </w:t>
      </w:r>
      <w:r w:rsidRPr="00434BD3">
        <w:rPr>
          <w:rFonts w:ascii="宋体" w:eastAsia="宋体" w:hAnsi="宋体" w:cs="宋体" w:hint="eastAsia"/>
        </w:rPr>
        <w:t>四行对应四个输入，八列对应八个计数器。</w:t>
      </w:r>
      <w:r w:rsidRPr="00434BD3">
        <w:t xml:space="preserve"> </w:t>
      </w:r>
      <w:r w:rsidRPr="00434BD3">
        <w:rPr>
          <w:rFonts w:ascii="宋体" w:eastAsia="宋体" w:hAnsi="宋体" w:cs="宋体" w:hint="eastAsia"/>
        </w:rPr>
        <w:t>以这种方式，用户可以非常容易地设置（和观察）哪个计数器登记了哪个重合。</w:t>
      </w:r>
    </w:p>
    <w:p w:rsidR="007B2AFF" w:rsidRDefault="00434BD3">
      <w:pPr>
        <w:ind w:left="-15"/>
      </w:pPr>
      <w:r w:rsidRPr="00434BD3">
        <w:rPr>
          <w:rFonts w:ascii="宋体" w:eastAsia="宋体" w:hAnsi="宋体" w:cs="宋体" w:hint="eastAsia"/>
        </w:rPr>
        <w:t>除了发送到</w:t>
      </w:r>
      <w:r w:rsidRPr="00434BD3">
        <w:t>FPGA</w:t>
      </w:r>
      <w:r w:rsidRPr="00434BD3">
        <w:rPr>
          <w:rFonts w:ascii="宋体" w:eastAsia="宋体" w:hAnsi="宋体" w:cs="宋体" w:hint="eastAsia"/>
        </w:rPr>
        <w:t>，每个四路与门的输出还连接到一个线路驱动器和一个</w:t>
      </w:r>
      <w:r w:rsidRPr="00434BD3">
        <w:t>BNC</w:t>
      </w:r>
      <w:r w:rsidRPr="00434BD3">
        <w:rPr>
          <w:rFonts w:ascii="宋体" w:eastAsia="宋体" w:hAnsi="宋体" w:cs="宋体" w:hint="eastAsia"/>
        </w:rPr>
        <w:t>输出，提供</w:t>
      </w:r>
      <w:r w:rsidRPr="00434BD3">
        <w:t>TTL</w:t>
      </w:r>
      <w:r w:rsidRPr="00434BD3">
        <w:rPr>
          <w:rFonts w:ascii="宋体" w:eastAsia="宋体" w:hAnsi="宋体" w:cs="宋体" w:hint="eastAsia"/>
        </w:rPr>
        <w:t>输出脉冲，可以在外部进行监控。</w:t>
      </w:r>
      <w:r w:rsidRPr="00434BD3">
        <w:t xml:space="preserve"> </w:t>
      </w:r>
      <w:r w:rsidRPr="00434BD3">
        <w:rPr>
          <w:rFonts w:ascii="宋体" w:eastAsia="宋体" w:hAnsi="宋体" w:cs="宋体" w:hint="eastAsia"/>
        </w:rPr>
        <w:t>通过使用这些输出脉冲作为附加</w:t>
      </w:r>
      <w:r w:rsidRPr="00434BD3">
        <w:t>CCM</w:t>
      </w:r>
      <w:r w:rsidRPr="00434BD3">
        <w:rPr>
          <w:rFonts w:ascii="宋体" w:eastAsia="宋体" w:hAnsi="宋体" w:cs="宋体" w:hint="eastAsia"/>
        </w:rPr>
        <w:t>的输入，可以监视任意数量的输入之间的</w:t>
      </w:r>
      <w:r>
        <w:rPr>
          <w:rFonts w:ascii="宋体" w:eastAsia="宋体" w:hAnsi="宋体" w:cs="宋体" w:hint="eastAsia"/>
        </w:rPr>
        <w:t>符</w:t>
      </w:r>
      <w:r w:rsidRPr="00434BD3">
        <w:rPr>
          <w:rFonts w:ascii="宋体" w:eastAsia="宋体" w:hAnsi="宋体" w:cs="宋体" w:hint="eastAsia"/>
        </w:rPr>
        <w:t>合。</w:t>
      </w:r>
    </w:p>
    <w:p w:rsidR="007B2AFF" w:rsidRDefault="007B2AFF">
      <w:pPr>
        <w:sectPr w:rsidR="007B2AFF">
          <w:type w:val="continuous"/>
          <w:pgSz w:w="12240" w:h="15840"/>
          <w:pgMar w:top="1440" w:right="1038" w:bottom="1440" w:left="1039" w:header="720" w:footer="720" w:gutter="0"/>
          <w:cols w:num="2" w:space="398"/>
        </w:sectPr>
      </w:pPr>
    </w:p>
    <w:p w:rsidR="007B2AFF" w:rsidRDefault="000706D6">
      <w:pPr>
        <w:tabs>
          <w:tab w:val="center" w:pos="5081"/>
          <w:tab w:val="right" w:pos="10162"/>
        </w:tabs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16"/>
        </w:rPr>
        <w:lastRenderedPageBreak/>
        <w:t>0034-6748/2011/82(1)/016102/3/$30.00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sz w:val="16"/>
        </w:rPr>
        <w:t>82</w:t>
      </w:r>
      <w:r>
        <w:rPr>
          <w:rFonts w:ascii="Arial" w:eastAsia="Arial" w:hAnsi="Arial" w:cs="Arial"/>
          <w:sz w:val="16"/>
        </w:rPr>
        <w:t>, 016102-1</w:t>
      </w:r>
      <w:r>
        <w:rPr>
          <w:rFonts w:ascii="Arial" w:eastAsia="Arial" w:hAnsi="Arial" w:cs="Arial"/>
          <w:sz w:val="16"/>
        </w:rPr>
        <w:tab/>
        <w:t>© 2011 American Institute of Physics</w:t>
      </w:r>
    </w:p>
    <w:p w:rsidR="007B2AFF" w:rsidRDefault="000706D6" w:rsidP="00434BD3">
      <w:pPr>
        <w:ind w:left="-15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-12784</wp:posOffset>
            </wp:positionH>
            <wp:positionV relativeFrom="paragraph">
              <wp:posOffset>0</wp:posOffset>
            </wp:positionV>
            <wp:extent cx="6452616" cy="3236976"/>
            <wp:effectExtent l="0" t="0" r="5715" b="1905"/>
            <wp:wrapSquare wrapText="bothSides"/>
            <wp:docPr id="26411" name="Picture 26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" name="Picture 264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16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BD3" w:rsidRPr="00434BD3">
        <w:rPr>
          <w:rFonts w:ascii="宋体" w:eastAsia="宋体" w:hAnsi="宋体" w:cs="宋体" w:hint="eastAsia"/>
        </w:rPr>
        <w:t>一个框图如图</w:t>
      </w:r>
      <w:r w:rsidR="00434BD3" w:rsidRPr="00434BD3">
        <w:t>2</w:t>
      </w:r>
      <w:r w:rsidR="00434BD3" w:rsidRPr="00434BD3">
        <w:rPr>
          <w:rFonts w:ascii="宋体" w:eastAsia="宋体" w:hAnsi="宋体" w:cs="宋体" w:hint="eastAsia"/>
        </w:rPr>
        <w:t>所示（整个电路的完整原理图可以在线获得）。</w:t>
      </w:r>
      <w:r w:rsidR="00FB1387">
        <w:rPr>
          <w:color w:val="0000FF"/>
          <w:vertAlign w:val="superscript"/>
        </w:rPr>
        <w:t>13</w:t>
      </w:r>
      <w:r w:rsidR="00434BD3" w:rsidRPr="00434BD3">
        <w:t xml:space="preserve"> </w:t>
      </w:r>
      <w:r w:rsidR="00434BD3" w:rsidRPr="00434BD3">
        <w:rPr>
          <w:rFonts w:ascii="宋体" w:eastAsia="宋体" w:hAnsi="宋体" w:cs="宋体" w:hint="eastAsia"/>
        </w:rPr>
        <w:t>除了符合逻辑之外，通过将</w:t>
      </w:r>
      <w:r w:rsidR="00434BD3" w:rsidRPr="00434BD3">
        <w:t>FPGA</w:t>
      </w:r>
      <w:r w:rsidR="00434BD3" w:rsidRPr="00434BD3">
        <w:rPr>
          <w:rFonts w:ascii="宋体" w:eastAsia="宋体" w:hAnsi="宋体" w:cs="宋体" w:hint="eastAsia"/>
        </w:rPr>
        <w:t>的</w:t>
      </w:r>
      <w:r w:rsidR="00434BD3" w:rsidRPr="00434BD3">
        <w:t>50 MHz</w:t>
      </w:r>
      <w:r w:rsidR="00434BD3" w:rsidRPr="00434BD3">
        <w:rPr>
          <w:rFonts w:ascii="宋体" w:eastAsia="宋体" w:hAnsi="宋体" w:cs="宋体" w:hint="eastAsia"/>
        </w:rPr>
        <w:t>振荡器分成几十个频率从</w:t>
      </w:r>
      <w:r w:rsidR="00434BD3" w:rsidRPr="00434BD3">
        <w:t>10 7</w:t>
      </w:r>
      <w:r w:rsidR="00434BD3" w:rsidRPr="00434BD3">
        <w:rPr>
          <w:rFonts w:ascii="宋体" w:eastAsia="宋体" w:hAnsi="宋体" w:cs="宋体" w:hint="eastAsia"/>
        </w:rPr>
        <w:t>到</w:t>
      </w:r>
      <w:r w:rsidR="00434BD3" w:rsidRPr="00434BD3">
        <w:t>1 Hz</w:t>
      </w:r>
      <w:r w:rsidR="00434BD3" w:rsidRPr="00434BD3">
        <w:rPr>
          <w:rFonts w:ascii="宋体" w:eastAsia="宋体" w:hAnsi="宋体" w:cs="宋体" w:hint="eastAsia"/>
        </w:rPr>
        <w:t>的用户可选速率，在</w:t>
      </w:r>
      <w:r w:rsidR="00434BD3" w:rsidRPr="00434BD3">
        <w:t>BNC</w:t>
      </w:r>
      <w:r w:rsidR="00434BD3" w:rsidRPr="00434BD3">
        <w:rPr>
          <w:rFonts w:ascii="宋体" w:eastAsia="宋体" w:hAnsi="宋体" w:cs="宋体" w:hint="eastAsia"/>
        </w:rPr>
        <w:t>输出</w:t>
      </w:r>
      <w:proofErr w:type="gramStart"/>
      <w:r w:rsidR="00434BD3" w:rsidRPr="00434BD3">
        <w:rPr>
          <w:rFonts w:ascii="宋体" w:eastAsia="宋体" w:hAnsi="宋体" w:cs="宋体" w:hint="eastAsia"/>
        </w:rPr>
        <w:t>端提供</w:t>
      </w:r>
      <w:proofErr w:type="gramEnd"/>
      <w:r w:rsidR="00434BD3" w:rsidRPr="00434BD3">
        <w:t>TTL</w:t>
      </w:r>
      <w:r w:rsidR="00434BD3" w:rsidRPr="00434BD3">
        <w:rPr>
          <w:rFonts w:ascii="宋体" w:eastAsia="宋体" w:hAnsi="宋体" w:cs="宋体" w:hint="eastAsia"/>
        </w:rPr>
        <w:t>时钟信号。</w:t>
      </w:r>
    </w:p>
    <w:p w:rsidR="007B2AFF" w:rsidRDefault="00FB1387">
      <w:pPr>
        <w:ind w:left="-15"/>
      </w:pPr>
      <w:r>
        <w:rPr>
          <w:rFonts w:ascii="宋体" w:eastAsia="宋体" w:hAnsi="宋体" w:cs="宋体" w:hint="eastAsia"/>
        </w:rPr>
        <w:t>符合</w:t>
      </w:r>
      <w:r w:rsidRPr="00FB1387">
        <w:rPr>
          <w:rFonts w:ascii="宋体" w:eastAsia="宋体" w:hAnsi="宋体" w:cs="宋体" w:hint="eastAsia"/>
        </w:rPr>
        <w:t>判定（</w:t>
      </w:r>
      <w:r>
        <w:rPr>
          <w:rFonts w:ascii="宋体" w:eastAsia="宋体" w:hAnsi="宋体" w:cs="宋体" w:hint="eastAsia"/>
        </w:rPr>
        <w:t>或门</w:t>
      </w:r>
      <w:r w:rsidRPr="00FB1387">
        <w:rPr>
          <w:rFonts w:ascii="宋体" w:eastAsia="宋体" w:hAnsi="宋体" w:cs="宋体" w:hint="eastAsia"/>
        </w:rPr>
        <w:t>和与门）使用</w:t>
      </w:r>
      <w:r w:rsidRPr="00FB1387">
        <w:t>F</w:t>
      </w:r>
      <w:r w:rsidRPr="00FB1387">
        <w:rPr>
          <w:rFonts w:ascii="宋体" w:eastAsia="宋体" w:hAnsi="宋体" w:cs="宋体" w:hint="eastAsia"/>
        </w:rPr>
        <w:t>系列</w:t>
      </w:r>
      <w:r w:rsidRPr="00FB1387">
        <w:t>5V TTL</w:t>
      </w:r>
      <w:r w:rsidRPr="00FB1387">
        <w:rPr>
          <w:rFonts w:ascii="宋体" w:eastAsia="宋体" w:hAnsi="宋体" w:cs="宋体" w:hint="eastAsia"/>
        </w:rPr>
        <w:t>逻辑实现。</w:t>
      </w:r>
      <w:r w:rsidRPr="00FB1387">
        <w:t xml:space="preserve"> FPGA</w:t>
      </w:r>
      <w:r w:rsidRPr="00FB1387">
        <w:rPr>
          <w:rFonts w:ascii="宋体" w:eastAsia="宋体" w:hAnsi="宋体" w:cs="宋体" w:hint="eastAsia"/>
        </w:rPr>
        <w:t>和</w:t>
      </w:r>
      <w:r w:rsidRPr="00FB1387">
        <w:t>USB</w:t>
      </w:r>
      <w:r w:rsidRPr="00FB1387">
        <w:rPr>
          <w:rFonts w:ascii="宋体" w:eastAsia="宋体" w:hAnsi="宋体" w:cs="宋体" w:hint="eastAsia"/>
        </w:rPr>
        <w:t>功能由来自</w:t>
      </w:r>
      <w:r w:rsidRPr="00FB1387">
        <w:t>Future Technology Devices International</w:t>
      </w:r>
      <w:r w:rsidRPr="00FB1387">
        <w:rPr>
          <w:rFonts w:ascii="宋体" w:eastAsia="宋体" w:hAnsi="宋体" w:cs="宋体" w:hint="eastAsia"/>
        </w:rPr>
        <w:t>（</w:t>
      </w:r>
      <w:r w:rsidRPr="00FB1387">
        <w:t>FTDI</w:t>
      </w:r>
      <w:r w:rsidRPr="00FB1387">
        <w:rPr>
          <w:rFonts w:ascii="宋体" w:eastAsia="宋体" w:hAnsi="宋体" w:cs="宋体" w:hint="eastAsia"/>
        </w:rPr>
        <w:t>）的</w:t>
      </w:r>
      <w:r w:rsidRPr="00FB1387">
        <w:t>80</w:t>
      </w:r>
      <w:r w:rsidRPr="00FB1387">
        <w:rPr>
          <w:rFonts w:ascii="宋体" w:eastAsia="宋体" w:hAnsi="宋体" w:cs="宋体" w:hint="eastAsia"/>
        </w:rPr>
        <w:t>引脚</w:t>
      </w:r>
      <w:r w:rsidRPr="00FB1387">
        <w:t>MORPH-IC</w:t>
      </w:r>
      <w:r w:rsidRPr="00FB1387">
        <w:rPr>
          <w:rFonts w:ascii="宋体" w:eastAsia="宋体" w:hAnsi="宋体" w:cs="宋体" w:hint="eastAsia"/>
        </w:rPr>
        <w:t>模块提供，该模块包含</w:t>
      </w:r>
      <w:r w:rsidRPr="00FB1387">
        <w:t xml:space="preserve">Altera </w:t>
      </w:r>
      <w:proofErr w:type="spellStart"/>
      <w:r w:rsidRPr="00FB1387">
        <w:t>Acex</w:t>
      </w:r>
      <w:proofErr w:type="spellEnd"/>
      <w:r w:rsidRPr="00FB1387">
        <w:t xml:space="preserve"> 1K FPGA</w:t>
      </w:r>
      <w:r w:rsidRPr="00FB1387">
        <w:rPr>
          <w:rFonts w:ascii="宋体" w:eastAsia="宋体" w:hAnsi="宋体" w:cs="宋体" w:hint="eastAsia"/>
        </w:rPr>
        <w:t>和带有</w:t>
      </w:r>
      <w:r w:rsidRPr="00FB1387">
        <w:t>FTDI FT2232D</w:t>
      </w:r>
      <w:r w:rsidRPr="00FB1387">
        <w:rPr>
          <w:rFonts w:ascii="宋体" w:eastAsia="宋体" w:hAnsi="宋体" w:cs="宋体" w:hint="eastAsia"/>
        </w:rPr>
        <w:t>先进先出（</w:t>
      </w:r>
      <w:r w:rsidRPr="00FB1387">
        <w:t>FIFO</w:t>
      </w:r>
      <w:r w:rsidRPr="00FB1387">
        <w:rPr>
          <w:rFonts w:ascii="宋体" w:eastAsia="宋体" w:hAnsi="宋体" w:cs="宋体" w:hint="eastAsia"/>
        </w:rPr>
        <w:t>）缓冲区的</w:t>
      </w:r>
      <w:r w:rsidRPr="00FB1387">
        <w:t>USB</w:t>
      </w:r>
      <w:r w:rsidRPr="00FB1387">
        <w:rPr>
          <w:rFonts w:ascii="宋体" w:eastAsia="宋体" w:hAnsi="宋体" w:cs="宋体" w:hint="eastAsia"/>
        </w:rPr>
        <w:t>接口。通过将编译的</w:t>
      </w:r>
      <w:r w:rsidRPr="00FB1387">
        <w:t>VHDL</w:t>
      </w:r>
      <w:r w:rsidRPr="00FB1387">
        <w:rPr>
          <w:rFonts w:ascii="宋体" w:eastAsia="宋体" w:hAnsi="宋体" w:cs="宋体" w:hint="eastAsia"/>
        </w:rPr>
        <w:t>程序闪烁来配置</w:t>
      </w:r>
      <w:r w:rsidRPr="00FB1387">
        <w:t>FPGA</w:t>
      </w:r>
      <w:r w:rsidRPr="00FB1387">
        <w:rPr>
          <w:rFonts w:ascii="宋体" w:eastAsia="宋体" w:hAnsi="宋体" w:cs="宋体" w:hint="eastAsia"/>
        </w:rPr>
        <w:t>。该程序从</w:t>
      </w:r>
      <w:r w:rsidRPr="00FB1387">
        <w:t>FPGA</w:t>
      </w:r>
      <w:r w:rsidRPr="00FB1387">
        <w:rPr>
          <w:rFonts w:ascii="宋体" w:eastAsia="宋体" w:hAnsi="宋体" w:cs="宋体" w:hint="eastAsia"/>
        </w:rPr>
        <w:t>中的单元创建八个独立的计数寄存器，每个通道寄存器中分别有</w:t>
      </w:r>
      <w:r w:rsidRPr="00FB1387">
        <w:t>16</w:t>
      </w:r>
      <w:r w:rsidRPr="00FB1387">
        <w:rPr>
          <w:rFonts w:ascii="宋体" w:eastAsia="宋体" w:hAnsi="宋体" w:cs="宋体" w:hint="eastAsia"/>
        </w:rPr>
        <w:t>位。存储在每个计数寄存器中的数字在四输入与门的每个</w:t>
      </w:r>
      <w:r w:rsidRPr="00FB1387">
        <w:t>TTL</w:t>
      </w:r>
      <w:r w:rsidRPr="00FB1387">
        <w:rPr>
          <w:rFonts w:ascii="宋体" w:eastAsia="宋体" w:hAnsi="宋体" w:cs="宋体" w:hint="eastAsia"/>
        </w:rPr>
        <w:t>脉冲的前沿递增。用户定义的计数时间（</w:t>
      </w:r>
      <w:r w:rsidRPr="00FB1387">
        <w:t>20μs</w:t>
      </w:r>
      <w:r w:rsidRPr="00FB1387">
        <w:rPr>
          <w:rFonts w:ascii="宋体" w:eastAsia="宋体" w:hAnsi="宋体" w:cs="宋体" w:hint="eastAsia"/>
        </w:rPr>
        <w:t>到</w:t>
      </w:r>
      <w:r w:rsidRPr="00FB1387">
        <w:t>1 s</w:t>
      </w:r>
      <w:r w:rsidRPr="00FB1387">
        <w:rPr>
          <w:rFonts w:ascii="宋体" w:eastAsia="宋体" w:hAnsi="宋体" w:cs="宋体" w:hint="eastAsia"/>
        </w:rPr>
        <w:t>）过后，每个计数寄存器中的值被复制到一个存储寄存器，并且计数寄存器复位为零。当计数寄存器重新开始递增时，存储寄存器值被写入</w:t>
      </w:r>
      <w:r w:rsidRPr="00FB1387">
        <w:t>FIFO</w:t>
      </w:r>
      <w:r w:rsidRPr="00FB1387">
        <w:rPr>
          <w:rFonts w:ascii="宋体" w:eastAsia="宋体" w:hAnsi="宋体" w:cs="宋体" w:hint="eastAsia"/>
        </w:rPr>
        <w:t>缓冲区。在将预定数量的存储值写入缓冲器之后，它们通过</w:t>
      </w:r>
      <w:r w:rsidRPr="00FB1387">
        <w:t>USB</w:t>
      </w:r>
      <w:r w:rsidRPr="00FB1387">
        <w:rPr>
          <w:rFonts w:ascii="宋体" w:eastAsia="宋体" w:hAnsi="宋体" w:cs="宋体" w:hint="eastAsia"/>
        </w:rPr>
        <w:t>被传送到计算机随机存取存储器（</w:t>
      </w:r>
      <w:r w:rsidRPr="00FB1387">
        <w:t>RAM</w:t>
      </w:r>
      <w:r w:rsidRPr="00FB1387">
        <w:rPr>
          <w:rFonts w:ascii="宋体" w:eastAsia="宋体" w:hAnsi="宋体" w:cs="宋体" w:hint="eastAsia"/>
        </w:rPr>
        <w:t>）中的阵列中。然后，将该阵列中的计数值集合为用户定义的时间间隔，显示在计算机监视器上和</w:t>
      </w:r>
      <w:r w:rsidRPr="00FB1387">
        <w:t>/</w:t>
      </w:r>
      <w:r w:rsidRPr="00FB1387">
        <w:rPr>
          <w:rFonts w:ascii="宋体" w:eastAsia="宋体" w:hAnsi="宋体" w:cs="宋体" w:hint="eastAsia"/>
        </w:rPr>
        <w:t>或存储到硬盘。所有这些任务以及将</w:t>
      </w:r>
      <w:r w:rsidRPr="00FB1387">
        <w:t>VHDL</w:t>
      </w:r>
      <w:r w:rsidRPr="00FB1387">
        <w:rPr>
          <w:rFonts w:ascii="宋体" w:eastAsia="宋体" w:hAnsi="宋体" w:cs="宋体" w:hint="eastAsia"/>
        </w:rPr>
        <w:t>程序自动加载到</w:t>
      </w:r>
      <w:r w:rsidRPr="00FB1387">
        <w:t>FPGA</w:t>
      </w:r>
      <w:r w:rsidRPr="00FB1387">
        <w:rPr>
          <w:rFonts w:ascii="宋体" w:eastAsia="宋体" w:hAnsi="宋体" w:cs="宋体" w:hint="eastAsia"/>
        </w:rPr>
        <w:t>上都可以通过免费的</w:t>
      </w:r>
      <w:r w:rsidRPr="00FB1387">
        <w:t>LABVIEW</w:t>
      </w:r>
      <w:r w:rsidRPr="00FB1387">
        <w:rPr>
          <w:rFonts w:ascii="宋体" w:eastAsia="宋体" w:hAnsi="宋体" w:cs="宋体" w:hint="eastAsia"/>
        </w:rPr>
        <w:t>软件来完成。</w:t>
      </w:r>
      <w:r w:rsidR="000706D6">
        <w:rPr>
          <w:color w:val="0000FF"/>
          <w:vertAlign w:val="superscript"/>
        </w:rPr>
        <w:t>12</w:t>
      </w:r>
    </w:p>
    <w:p w:rsidR="007B2AFF" w:rsidRDefault="007B2AFF">
      <w:pPr>
        <w:ind w:left="-15"/>
      </w:pPr>
    </w:p>
    <w:p w:rsidR="007E783B" w:rsidRDefault="007E783B">
      <w:pPr>
        <w:spacing w:after="539" w:line="259" w:lineRule="auto"/>
        <w:ind w:left="55" w:hanging="10"/>
        <w:rPr>
          <w:sz w:val="16"/>
        </w:rPr>
      </w:pPr>
    </w:p>
    <w:p w:rsidR="007E783B" w:rsidRDefault="007E783B">
      <w:pPr>
        <w:spacing w:after="539" w:line="259" w:lineRule="auto"/>
        <w:ind w:left="55" w:hanging="10"/>
        <w:rPr>
          <w:sz w:val="16"/>
        </w:rPr>
      </w:pPr>
    </w:p>
    <w:p w:rsidR="007B2AFF" w:rsidRDefault="000706D6">
      <w:pPr>
        <w:spacing w:after="539" w:line="259" w:lineRule="auto"/>
        <w:ind w:left="55" w:hanging="10"/>
      </w:pPr>
      <w:r>
        <w:rPr>
          <w:sz w:val="16"/>
        </w:rPr>
        <w:t xml:space="preserve">FIG. 3. (Color online) Mean single-channel counting rate in the CCM vs mean input pulse rate from an LFSR, acquired during 10-s intervals. The pseudorandom input pulses were counted independently with external 50MHz counters. A least-squares fit (solid line) of the form </w:t>
      </w:r>
      <w:r>
        <w:rPr>
          <w:i/>
          <w:sz w:val="16"/>
        </w:rPr>
        <w:t xml:space="preserve">y </w:t>
      </w:r>
      <w:r>
        <w:rPr>
          <w:rFonts w:ascii="Calibri" w:eastAsia="Calibri" w:hAnsi="Calibri" w:cs="Calibri"/>
          <w:sz w:val="16"/>
        </w:rPr>
        <w:t>=</w:t>
      </w:r>
      <w:r>
        <w:rPr>
          <w:i/>
          <w:sz w:val="16"/>
        </w:rPr>
        <w:t xml:space="preserve">mx </w:t>
      </w:r>
      <w:r>
        <w:rPr>
          <w:sz w:val="16"/>
        </w:rPr>
        <w:t xml:space="preserve">yielded </w:t>
      </w:r>
      <w:r>
        <w:rPr>
          <w:i/>
          <w:sz w:val="16"/>
        </w:rPr>
        <w:t xml:space="preserve">m </w:t>
      </w:r>
      <w:r>
        <w:rPr>
          <w:rFonts w:ascii="Calibri" w:eastAsia="Calibri" w:hAnsi="Calibri" w:cs="Calibri"/>
          <w:sz w:val="16"/>
        </w:rPr>
        <w:t xml:space="preserve">= </w:t>
      </w:r>
      <w:r>
        <w:rPr>
          <w:sz w:val="16"/>
        </w:rPr>
        <w:t xml:space="preserve">1.002 </w:t>
      </w:r>
      <w:r>
        <w:rPr>
          <w:rFonts w:ascii="Calibri" w:eastAsia="Calibri" w:hAnsi="Calibri" w:cs="Calibri"/>
          <w:sz w:val="16"/>
        </w:rPr>
        <w:t xml:space="preserve">± </w:t>
      </w:r>
      <w:r>
        <w:rPr>
          <w:sz w:val="16"/>
        </w:rPr>
        <w:t>0.002</w:t>
      </w:r>
      <w:r>
        <w:rPr>
          <w:sz w:val="25"/>
          <w:vertAlign w:val="subscript"/>
        </w:rPr>
        <w:t>. Similar results were observed in the other input channels.</w:t>
      </w:r>
    </w:p>
    <w:p w:rsidR="007B2AFF" w:rsidRDefault="007E783B">
      <w:pPr>
        <w:spacing w:after="107"/>
        <w:ind w:left="-15" w:firstLine="0"/>
      </w:pPr>
      <w:r w:rsidRPr="007E783B">
        <w:rPr>
          <w:rFonts w:ascii="宋体" w:eastAsia="宋体" w:hAnsi="宋体" w:cs="宋体" w:hint="eastAsia"/>
        </w:rPr>
        <w:t>将计数寄存器值传送到存储寄存器占用</w:t>
      </w:r>
      <w:r w:rsidRPr="007E783B">
        <w:t>FPGA 50 MHz</w:t>
      </w:r>
      <w:r w:rsidRPr="007E783B">
        <w:rPr>
          <w:rFonts w:ascii="宋体" w:eastAsia="宋体" w:hAnsi="宋体" w:cs="宋体" w:hint="eastAsia"/>
        </w:rPr>
        <w:t>主振荡器的一个周期</w:t>
      </w:r>
      <w:r w:rsidRPr="007E783B">
        <w:t xml:space="preserve">; </w:t>
      </w:r>
      <w:r w:rsidRPr="007E783B">
        <w:rPr>
          <w:rFonts w:ascii="宋体" w:eastAsia="宋体" w:hAnsi="宋体" w:cs="宋体" w:hint="eastAsia"/>
        </w:rPr>
        <w:t>在这个</w:t>
      </w:r>
      <w:r w:rsidRPr="007E783B">
        <w:t>0.2μs</w:t>
      </w:r>
      <w:r w:rsidRPr="007E783B">
        <w:rPr>
          <w:rFonts w:ascii="宋体" w:eastAsia="宋体" w:hAnsi="宋体" w:cs="宋体" w:hint="eastAsia"/>
        </w:rPr>
        <w:t>的时间间隔内，计数寄存器不能增加，因此对于任何新的</w:t>
      </w:r>
      <w:r w:rsidRPr="007E783B">
        <w:t>TTL</w:t>
      </w:r>
      <w:r w:rsidRPr="007E783B">
        <w:rPr>
          <w:rFonts w:ascii="宋体" w:eastAsia="宋体" w:hAnsi="宋体" w:cs="宋体" w:hint="eastAsia"/>
        </w:rPr>
        <w:t>脉冲的到来都是</w:t>
      </w:r>
      <w:r w:rsidRPr="007E783B">
        <w:t>“</w:t>
      </w:r>
      <w:r w:rsidRPr="007E783B">
        <w:rPr>
          <w:rFonts w:ascii="宋体" w:eastAsia="宋体" w:hAnsi="宋体" w:cs="宋体" w:hint="eastAsia"/>
        </w:rPr>
        <w:t>盲</w:t>
      </w:r>
      <w:r w:rsidRPr="007E783B">
        <w:t>”</w:t>
      </w:r>
      <w:r w:rsidRPr="007E783B">
        <w:rPr>
          <w:rFonts w:ascii="宋体" w:eastAsia="宋体" w:hAnsi="宋体" w:cs="宋体" w:hint="eastAsia"/>
        </w:rPr>
        <w:t>的。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一个这样的</w:t>
      </w:r>
      <w:r w:rsidRPr="007E783B">
        <w:t>“</w:t>
      </w:r>
      <w:r w:rsidRPr="007E783B">
        <w:rPr>
          <w:rFonts w:ascii="宋体" w:eastAsia="宋体" w:hAnsi="宋体" w:cs="宋体" w:hint="eastAsia"/>
        </w:rPr>
        <w:t>盲目循环</w:t>
      </w:r>
      <w:r w:rsidRPr="007E783B">
        <w:t>”</w:t>
      </w:r>
      <w:r w:rsidRPr="007E783B">
        <w:rPr>
          <w:rFonts w:ascii="宋体" w:eastAsia="宋体" w:hAnsi="宋体" w:cs="宋体" w:hint="eastAsia"/>
        </w:rPr>
        <w:t>将在每个计数时间</w:t>
      </w:r>
      <w:proofErr w:type="gramStart"/>
      <w:r w:rsidRPr="007E783B">
        <w:rPr>
          <w:rFonts w:ascii="宋体" w:eastAsia="宋体" w:hAnsi="宋体" w:cs="宋体" w:hint="eastAsia"/>
        </w:rPr>
        <w:t>仓已经</w:t>
      </w:r>
      <w:proofErr w:type="gramEnd"/>
      <w:r w:rsidRPr="007E783B">
        <w:rPr>
          <w:rFonts w:ascii="宋体" w:eastAsia="宋体" w:hAnsi="宋体" w:cs="宋体" w:hint="eastAsia"/>
        </w:rPr>
        <w:t>过去之后发生</w:t>
      </w:r>
      <w:r w:rsidRPr="007E783B">
        <w:t xml:space="preserve">; </w:t>
      </w:r>
      <w:r w:rsidRPr="007E783B">
        <w:rPr>
          <w:rFonts w:ascii="宋体" w:eastAsia="宋体" w:hAnsi="宋体" w:cs="宋体" w:hint="eastAsia"/>
        </w:rPr>
        <w:t>因此，对于经过时间</w:t>
      </w:r>
      <w:r w:rsidRPr="007E783B">
        <w:t>T</w:t>
      </w:r>
      <w:r w:rsidRPr="007E783B">
        <w:rPr>
          <w:rFonts w:ascii="宋体" w:eastAsia="宋体" w:hAnsi="宋体" w:cs="宋体" w:hint="eastAsia"/>
        </w:rPr>
        <w:t>，有效数据采集时间的真实持续时间为</w:t>
      </w:r>
      <w:proofErr w:type="spellStart"/>
      <w:r w:rsidRPr="007E783B">
        <w:t>Tactive</w:t>
      </w:r>
      <w:proofErr w:type="spellEnd"/>
      <w:r w:rsidRPr="007E783B">
        <w:t xml:space="preserve"> = T [1-R /</w:t>
      </w:r>
      <w:r w:rsidRPr="007E783B">
        <w:rPr>
          <w:rFonts w:ascii="宋体" w:eastAsia="宋体" w:hAnsi="宋体" w:cs="宋体" w:hint="eastAsia"/>
        </w:rPr>
        <w:t>（</w:t>
      </w:r>
      <w:r w:rsidRPr="007E783B">
        <w:t>50MHz</w:t>
      </w:r>
      <w:r w:rsidRPr="007E783B">
        <w:rPr>
          <w:rFonts w:ascii="宋体" w:eastAsia="宋体" w:hAnsi="宋体" w:cs="宋体" w:hint="eastAsia"/>
        </w:rPr>
        <w:t>）</w:t>
      </w:r>
      <w:r w:rsidRPr="007E783B">
        <w:t>]</w:t>
      </w:r>
      <w:r w:rsidRPr="007E783B">
        <w:rPr>
          <w:rFonts w:ascii="宋体" w:eastAsia="宋体" w:hAnsi="宋体" w:cs="宋体" w:hint="eastAsia"/>
        </w:rPr>
        <w:t>，其中</w:t>
      </w:r>
      <w:r w:rsidRPr="007E783B">
        <w:t>R</w:t>
      </w:r>
      <w:r w:rsidRPr="007E783B">
        <w:rPr>
          <w:rFonts w:ascii="宋体" w:eastAsia="宋体" w:hAnsi="宋体" w:cs="宋体" w:hint="eastAsia"/>
        </w:rPr>
        <w:t>是（用户选择的）数据采集速率。</w:t>
      </w:r>
      <w:r w:rsidRPr="007E783B">
        <w:t xml:space="preserve"> </w:t>
      </w:r>
      <w:proofErr w:type="gramStart"/>
      <w:r w:rsidRPr="007E783B">
        <w:rPr>
          <w:rFonts w:ascii="宋体" w:eastAsia="宋体" w:hAnsi="宋体" w:cs="宋体" w:hint="eastAsia"/>
        </w:rPr>
        <w:t>可用值</w:t>
      </w:r>
      <w:proofErr w:type="gramEnd"/>
      <w:r w:rsidRPr="007E783B">
        <w:rPr>
          <w:rFonts w:ascii="宋体" w:eastAsia="宋体" w:hAnsi="宋体" w:cs="宋体" w:hint="eastAsia"/>
        </w:rPr>
        <w:t>范围从</w:t>
      </w:r>
      <w:r w:rsidRPr="007E783B">
        <w:t>R = 1 Hz</w:t>
      </w:r>
      <w:r w:rsidRPr="007E783B">
        <w:rPr>
          <w:rFonts w:ascii="宋体" w:eastAsia="宋体" w:hAnsi="宋体" w:cs="宋体" w:hint="eastAsia"/>
        </w:rPr>
        <w:t>到</w:t>
      </w:r>
      <w:r w:rsidRPr="007E783B">
        <w:t>50 kHz</w:t>
      </w:r>
      <w:r w:rsidRPr="007E783B">
        <w:rPr>
          <w:rFonts w:ascii="宋体" w:eastAsia="宋体" w:hAnsi="宋体" w:cs="宋体" w:hint="eastAsia"/>
        </w:rPr>
        <w:t>。</w:t>
      </w:r>
    </w:p>
    <w:p w:rsidR="007E783B" w:rsidRDefault="007E783B">
      <w:pPr>
        <w:ind w:left="-15"/>
        <w:rPr>
          <w:rFonts w:ascii="宋体" w:eastAsia="宋体" w:hAnsi="宋体" w:cs="宋体"/>
        </w:rPr>
      </w:pPr>
      <w:r w:rsidRPr="007E783B">
        <w:t>CCM</w:t>
      </w:r>
      <w:r w:rsidRPr="007E783B">
        <w:rPr>
          <w:rFonts w:ascii="宋体" w:eastAsia="宋体" w:hAnsi="宋体" w:cs="宋体" w:hint="eastAsia"/>
        </w:rPr>
        <w:t>使用</w:t>
      </w:r>
      <w:r w:rsidRPr="007E783B">
        <w:t>TTL</w:t>
      </w:r>
      <w:r w:rsidRPr="007E783B">
        <w:rPr>
          <w:rFonts w:ascii="宋体" w:eastAsia="宋体" w:hAnsi="宋体" w:cs="宋体" w:hint="eastAsia"/>
        </w:rPr>
        <w:t>脉冲发生器进行测试，并能够在高达</w:t>
      </w:r>
      <w:r w:rsidRPr="007E783B">
        <w:t>37 MHz</w:t>
      </w:r>
      <w:r w:rsidRPr="007E783B">
        <w:rPr>
          <w:rFonts w:ascii="宋体" w:eastAsia="宋体" w:hAnsi="宋体" w:cs="宋体" w:hint="eastAsia"/>
        </w:rPr>
        <w:t>的频率下计数符合，而无损失。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为了达到这个目的，脉冲发生器被锁相到</w:t>
      </w:r>
      <w:r w:rsidRPr="007E783B">
        <w:t>10MHz</w:t>
      </w:r>
      <w:r w:rsidRPr="007E783B">
        <w:rPr>
          <w:rFonts w:ascii="宋体" w:eastAsia="宋体" w:hAnsi="宋体" w:cs="宋体" w:hint="eastAsia"/>
        </w:rPr>
        <w:t>时钟输出的</w:t>
      </w:r>
      <w:r w:rsidRPr="007E783B">
        <w:t>FPGA</w:t>
      </w:r>
      <w:r w:rsidRPr="007E783B">
        <w:rPr>
          <w:rFonts w:ascii="宋体" w:eastAsia="宋体" w:hAnsi="宋体" w:cs="宋体" w:hint="eastAsia"/>
        </w:rPr>
        <w:t>时钟，并且增加了相位偏移以防止输入脉冲与盲循环重合。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在</w:t>
      </w:r>
      <w:r w:rsidRPr="007E783B">
        <w:t>37 MHz</w:t>
      </w:r>
      <w:r w:rsidRPr="007E783B">
        <w:rPr>
          <w:rFonts w:ascii="宋体" w:eastAsia="宋体" w:hAnsi="宋体" w:cs="宋体" w:hint="eastAsia"/>
        </w:rPr>
        <w:t>以上，无法避免盲目循环，总计中错过了每秒精确的</w:t>
      </w:r>
      <w:r w:rsidRPr="007E783B">
        <w:t>R</w:t>
      </w:r>
      <w:r w:rsidRPr="007E783B">
        <w:rPr>
          <w:rFonts w:ascii="宋体" w:eastAsia="宋体" w:hAnsi="宋体" w:cs="宋体" w:hint="eastAsia"/>
        </w:rPr>
        <w:t>计数。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在</w:t>
      </w:r>
      <w:r w:rsidRPr="007E783B">
        <w:t>74 MHz</w:t>
      </w:r>
      <w:r w:rsidRPr="007E783B">
        <w:rPr>
          <w:rFonts w:ascii="宋体" w:eastAsia="宋体" w:hAnsi="宋体" w:cs="宋体" w:hint="eastAsia"/>
        </w:rPr>
        <w:t>以上，每秒恰好</w:t>
      </w:r>
      <w:r w:rsidRPr="007E783B">
        <w:t>2R</w:t>
      </w:r>
      <w:r w:rsidRPr="007E783B">
        <w:rPr>
          <w:rFonts w:ascii="宋体" w:eastAsia="宋体" w:hAnsi="宋体" w:cs="宋体" w:hint="eastAsia"/>
        </w:rPr>
        <w:t>计数丢失。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总数保持稳定，高达</w:t>
      </w:r>
      <w:r w:rsidRPr="007E783B">
        <w:t xml:space="preserve">84 MHz; </w:t>
      </w:r>
      <w:r w:rsidRPr="007E783B">
        <w:rPr>
          <w:rFonts w:ascii="宋体" w:eastAsia="宋体" w:hAnsi="宋体" w:cs="宋体" w:hint="eastAsia"/>
        </w:rPr>
        <w:t>在这个输入速率以上，由于在与门的上升</w:t>
      </w:r>
      <w:r w:rsidRPr="007E783B">
        <w:t>/</w:t>
      </w:r>
      <w:r w:rsidRPr="007E783B">
        <w:rPr>
          <w:rFonts w:ascii="宋体" w:eastAsia="宋体" w:hAnsi="宋体" w:cs="宋体" w:hint="eastAsia"/>
        </w:rPr>
        <w:t>下降时间内连续的脉冲重叠，所以重合在</w:t>
      </w:r>
      <w:r w:rsidRPr="007E783B">
        <w:t>147</w:t>
      </w:r>
      <w:r w:rsidRPr="007E783B">
        <w:rPr>
          <w:rFonts w:ascii="宋体" w:eastAsia="宋体" w:hAnsi="宋体" w:cs="宋体" w:hint="eastAsia"/>
        </w:rPr>
        <w:t>兆赫处波动并最终下降到零。</w:t>
      </w:r>
    </w:p>
    <w:p w:rsidR="007B2AFF" w:rsidRDefault="007B2AFF">
      <w:pPr>
        <w:sectPr w:rsidR="007B2AFF">
          <w:type w:val="continuous"/>
          <w:pgSz w:w="12240" w:h="15840"/>
          <w:pgMar w:top="1440" w:right="1038" w:bottom="1440" w:left="1039" w:header="720" w:footer="720" w:gutter="0"/>
          <w:cols w:num="2" w:space="398"/>
        </w:sectPr>
      </w:pPr>
    </w:p>
    <w:p w:rsidR="007B2AFF" w:rsidRDefault="000706D6">
      <w:pPr>
        <w:spacing w:after="245" w:line="259" w:lineRule="auto"/>
        <w:ind w:left="1943" w:firstLine="0"/>
        <w:jc w:val="left"/>
      </w:pPr>
      <w:r>
        <w:rPr>
          <w:noProof/>
        </w:rPr>
        <w:lastRenderedPageBreak/>
        <w:drawing>
          <wp:inline distT="0" distB="0" distL="0" distR="0">
            <wp:extent cx="3968496" cy="996697"/>
            <wp:effectExtent l="0" t="0" r="0" b="0"/>
            <wp:docPr id="26413" name="Picture 26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3" name="Picture 264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9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FF" w:rsidRDefault="000706D6">
      <w:pPr>
        <w:spacing w:after="0" w:line="276" w:lineRule="auto"/>
        <w:ind w:left="0" w:firstLine="0"/>
        <w:jc w:val="left"/>
        <w:rPr>
          <w:rFonts w:ascii="Arial" w:eastAsia="Arial" w:hAnsi="Arial" w:cs="Arial"/>
          <w:sz w:val="16"/>
        </w:rPr>
      </w:pPr>
      <w:r>
        <w:rPr>
          <w:sz w:val="16"/>
        </w:rPr>
        <w:t xml:space="preserve">FIG. 2. Block diagram of the CCM architecture. Each input has a selectable impedance of </w:t>
      </w:r>
      <w:proofErr w:type="gramStart"/>
      <w:r>
        <w:rPr>
          <w:sz w:val="16"/>
        </w:rPr>
        <w:t xml:space="preserve">50 </w:t>
      </w:r>
      <w:r>
        <w:rPr>
          <w:rFonts w:ascii="Calibri" w:eastAsia="Calibri" w:hAnsi="Calibri" w:cs="Calibri"/>
          <w:sz w:val="16"/>
        </w:rPr>
        <w:t xml:space="preserve"> </w:t>
      </w:r>
      <w:r>
        <w:rPr>
          <w:sz w:val="16"/>
        </w:rPr>
        <w:t>or</w:t>
      </w:r>
      <w:proofErr w:type="gramEnd"/>
      <w:r>
        <w:rPr>
          <w:sz w:val="16"/>
        </w:rPr>
        <w:t xml:space="preserve"> 1 k. The input pulses are shortened and then fanned out to form the inputs to eight copies of the circuit in Fig. </w:t>
      </w:r>
      <w:r>
        <w:rPr>
          <w:color w:val="0000FF"/>
          <w:sz w:val="16"/>
        </w:rPr>
        <w:t>1</w:t>
      </w:r>
      <w:r>
        <w:rPr>
          <w:sz w:val="16"/>
        </w:rPr>
        <w:t xml:space="preserve">. The eight output channels are sent to BNC outputs, and also to the counting registers on the FPGA. </w:t>
      </w:r>
    </w:p>
    <w:p w:rsidR="007E783B" w:rsidRDefault="007E783B">
      <w:pPr>
        <w:spacing w:after="0" w:line="276" w:lineRule="auto"/>
        <w:ind w:left="0" w:firstLine="0"/>
        <w:jc w:val="left"/>
      </w:pPr>
    </w:p>
    <w:p w:rsidR="007B2AFF" w:rsidRDefault="007B2AFF">
      <w:pPr>
        <w:sectPr w:rsidR="007B2AFF">
          <w:type w:val="continuous"/>
          <w:pgSz w:w="12240" w:h="15840"/>
          <w:pgMar w:top="572" w:right="1038" w:bottom="777" w:left="1039" w:header="720" w:footer="720" w:gutter="0"/>
          <w:cols w:space="720"/>
        </w:sectPr>
      </w:pPr>
    </w:p>
    <w:p w:rsidR="007B2AFF" w:rsidRDefault="000706D6">
      <w:pPr>
        <w:spacing w:after="246" w:line="259" w:lineRule="auto"/>
        <w:ind w:left="34" w:firstLine="0"/>
        <w:jc w:val="left"/>
      </w:pPr>
      <w:r>
        <w:rPr>
          <w:noProof/>
        </w:rPr>
        <w:lastRenderedPageBreak/>
        <w:drawing>
          <wp:inline distT="0" distB="0" distL="0" distR="0">
            <wp:extent cx="3054096" cy="2819400"/>
            <wp:effectExtent l="0" t="0" r="0" b="0"/>
            <wp:docPr id="26415" name="Picture 26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5" name="Picture 264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FF" w:rsidRDefault="000706D6">
      <w:pPr>
        <w:spacing w:after="21" w:line="259" w:lineRule="auto"/>
        <w:ind w:left="55" w:hanging="10"/>
      </w:pPr>
      <w:r>
        <w:rPr>
          <w:sz w:val="16"/>
        </w:rPr>
        <w:t xml:space="preserve">FIG. 4. (Color online) Coincidence rates </w:t>
      </w:r>
      <w:r>
        <w:rPr>
          <w:i/>
          <w:sz w:val="16"/>
        </w:rPr>
        <w:t>R</w:t>
      </w:r>
      <w:r>
        <w:rPr>
          <w:sz w:val="16"/>
          <w:vertAlign w:val="subscript"/>
        </w:rPr>
        <w:t xml:space="preserve">AB </w:t>
      </w:r>
      <w:r>
        <w:rPr>
          <w:sz w:val="16"/>
        </w:rPr>
        <w:t>in the CCM for pseudorandom</w:t>
      </w:r>
    </w:p>
    <w:p w:rsidR="007B2AFF" w:rsidRDefault="000706D6">
      <w:pPr>
        <w:spacing w:after="302" w:line="364" w:lineRule="auto"/>
        <w:ind w:left="55" w:hanging="10"/>
      </w:pPr>
      <w:r>
        <w:rPr>
          <w:sz w:val="16"/>
        </w:rPr>
        <w:t xml:space="preserve">input rates </w:t>
      </w:r>
      <w:r>
        <w:rPr>
          <w:i/>
          <w:sz w:val="16"/>
        </w:rPr>
        <w:t>R</w:t>
      </w:r>
      <w:r>
        <w:rPr>
          <w:sz w:val="16"/>
          <w:vertAlign w:val="subscript"/>
        </w:rPr>
        <w:t xml:space="preserve">A </w:t>
      </w:r>
      <w:r>
        <w:rPr>
          <w:sz w:val="16"/>
        </w:rPr>
        <w:t xml:space="preserve">and </w:t>
      </w:r>
      <w:r>
        <w:rPr>
          <w:i/>
          <w:sz w:val="16"/>
        </w:rPr>
        <w:t>R</w:t>
      </w:r>
      <w:r>
        <w:rPr>
          <w:sz w:val="16"/>
          <w:vertAlign w:val="subscript"/>
        </w:rPr>
        <w:t xml:space="preserve">B </w:t>
      </w:r>
      <w:r>
        <w:rPr>
          <w:sz w:val="16"/>
        </w:rPr>
        <w:t xml:space="preserve">on channels A and B, as a function of </w:t>
      </w:r>
      <w:r>
        <w:rPr>
          <w:i/>
          <w:sz w:val="16"/>
        </w:rPr>
        <w:t xml:space="preserve">x </w:t>
      </w:r>
      <w:r>
        <w:rPr>
          <w:rFonts w:ascii="Calibri" w:eastAsia="Calibri" w:hAnsi="Calibri" w:cs="Calibri"/>
          <w:sz w:val="16"/>
        </w:rPr>
        <w:t>=√</w:t>
      </w:r>
      <w:r>
        <w:rPr>
          <w:i/>
          <w:sz w:val="25"/>
          <w:vertAlign w:val="subscript"/>
        </w:rPr>
        <w:t>R</w:t>
      </w:r>
      <w:r>
        <w:rPr>
          <w:sz w:val="16"/>
          <w:vertAlign w:val="subscript"/>
        </w:rPr>
        <w:t>A</w:t>
      </w:r>
      <w:r>
        <w:rPr>
          <w:i/>
          <w:sz w:val="16"/>
        </w:rPr>
        <w:t>R</w:t>
      </w:r>
      <w:r>
        <w:rPr>
          <w:sz w:val="16"/>
          <w:vertAlign w:val="subscript"/>
        </w:rPr>
        <w:t xml:space="preserve">B </w:t>
      </w:r>
      <w:r>
        <w:rPr>
          <w:sz w:val="16"/>
        </w:rPr>
        <w:t xml:space="preserve">for various pulse width settings. A least-squares fit (solid line) to the parabola </w:t>
      </w:r>
      <w:r>
        <w:rPr>
          <w:i/>
          <w:sz w:val="16"/>
        </w:rPr>
        <w:t xml:space="preserve">y </w:t>
      </w:r>
      <w:r>
        <w:rPr>
          <w:rFonts w:ascii="Calibri" w:eastAsia="Calibri" w:hAnsi="Calibri" w:cs="Calibri"/>
          <w:sz w:val="16"/>
        </w:rPr>
        <w:t>=τ</w:t>
      </w:r>
      <w:r>
        <w:rPr>
          <w:sz w:val="16"/>
          <w:vertAlign w:val="subscript"/>
        </w:rPr>
        <w:t>c</w:t>
      </w:r>
      <w:r>
        <w:rPr>
          <w:i/>
          <w:sz w:val="16"/>
        </w:rPr>
        <w:t>x</w:t>
      </w:r>
      <w:r>
        <w:rPr>
          <w:sz w:val="12"/>
        </w:rPr>
        <w:t xml:space="preserve">2 </w:t>
      </w:r>
      <w:r>
        <w:rPr>
          <w:sz w:val="16"/>
        </w:rPr>
        <w:t xml:space="preserve">yielded coincidence times </w:t>
      </w:r>
      <w:proofErr w:type="spellStart"/>
      <w:r>
        <w:rPr>
          <w:rFonts w:ascii="Calibri" w:eastAsia="Calibri" w:hAnsi="Calibri" w:cs="Calibri"/>
          <w:sz w:val="16"/>
        </w:rPr>
        <w:t>τ</w:t>
      </w:r>
      <w:r>
        <w:rPr>
          <w:sz w:val="16"/>
          <w:vertAlign w:val="subscript"/>
        </w:rPr>
        <w:t>c</w:t>
      </w:r>
      <w:proofErr w:type="spellEnd"/>
      <w:r>
        <w:rPr>
          <w:sz w:val="16"/>
          <w:vertAlign w:val="subscript"/>
        </w:rPr>
        <w:t xml:space="preserve"> </w:t>
      </w:r>
      <w:r>
        <w:rPr>
          <w:rFonts w:ascii="Calibri" w:eastAsia="Calibri" w:hAnsi="Calibri" w:cs="Calibri"/>
          <w:sz w:val="16"/>
        </w:rPr>
        <w:t xml:space="preserve">= </w:t>
      </w:r>
      <w:r>
        <w:rPr>
          <w:sz w:val="16"/>
        </w:rPr>
        <w:t xml:space="preserve">12.033 </w:t>
      </w:r>
      <w:r>
        <w:rPr>
          <w:rFonts w:ascii="Calibri" w:eastAsia="Calibri" w:hAnsi="Calibri" w:cs="Calibri"/>
          <w:sz w:val="16"/>
        </w:rPr>
        <w:t xml:space="preserve">± </w:t>
      </w:r>
      <w:r>
        <w:rPr>
          <w:sz w:val="16"/>
        </w:rPr>
        <w:t xml:space="preserve">0.006, 14.56 </w:t>
      </w:r>
      <w:r>
        <w:rPr>
          <w:rFonts w:ascii="Calibri" w:eastAsia="Calibri" w:hAnsi="Calibri" w:cs="Calibri"/>
          <w:sz w:val="16"/>
        </w:rPr>
        <w:t xml:space="preserve">± </w:t>
      </w:r>
      <w:r>
        <w:rPr>
          <w:sz w:val="16"/>
        </w:rPr>
        <w:t xml:space="preserve">0.02, and 20.38 </w:t>
      </w:r>
      <w:r>
        <w:rPr>
          <w:rFonts w:ascii="Calibri" w:eastAsia="Calibri" w:hAnsi="Calibri" w:cs="Calibri"/>
          <w:sz w:val="16"/>
        </w:rPr>
        <w:t xml:space="preserve">± </w:t>
      </w:r>
      <w:r>
        <w:rPr>
          <w:sz w:val="16"/>
        </w:rPr>
        <w:t>0.09 ns for settings 00, 01, and 10. Similar results were observed for coincidences among the other input channels.</w:t>
      </w:r>
    </w:p>
    <w:p w:rsidR="007B2AFF" w:rsidRDefault="007E783B" w:rsidP="007E783B">
      <w:pPr>
        <w:ind w:left="-15"/>
      </w:pPr>
      <w:r w:rsidRPr="007E783B">
        <w:rPr>
          <w:rFonts w:ascii="宋体" w:eastAsia="宋体" w:hAnsi="宋体" w:cs="宋体" w:hint="eastAsia"/>
        </w:rPr>
        <w:t>为了测试多个模块的可扩展性，来自发生器的锁相脉冲被扇出为八个副本并被传送到两个</w:t>
      </w:r>
      <w:r w:rsidRPr="007E783B">
        <w:t>CCM</w:t>
      </w:r>
      <w:r w:rsidRPr="007E783B">
        <w:rPr>
          <w:rFonts w:ascii="宋体" w:eastAsia="宋体" w:hAnsi="宋体" w:cs="宋体" w:hint="eastAsia"/>
        </w:rPr>
        <w:t>的输入端。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从每个</w:t>
      </w:r>
      <w:r w:rsidRPr="007E783B">
        <w:t>CCM</w:t>
      </w:r>
      <w:r w:rsidRPr="007E783B">
        <w:rPr>
          <w:rFonts w:ascii="宋体" w:eastAsia="宋体" w:hAnsi="宋体" w:cs="宋体" w:hint="eastAsia"/>
        </w:rPr>
        <w:t>输出的四路符合输入到第三个</w:t>
      </w:r>
      <w:r w:rsidRPr="007E783B">
        <w:t>CCM</w:t>
      </w:r>
      <w:r w:rsidRPr="007E783B">
        <w:rPr>
          <w:rFonts w:ascii="宋体" w:eastAsia="宋体" w:hAnsi="宋体" w:cs="宋体" w:hint="eastAsia"/>
        </w:rPr>
        <w:t>输入，然后以高达</w:t>
      </w:r>
      <w:r w:rsidRPr="007E783B">
        <w:t>30 MHz</w:t>
      </w:r>
      <w:r w:rsidRPr="007E783B">
        <w:rPr>
          <w:rFonts w:ascii="宋体" w:eastAsia="宋体" w:hAnsi="宋体" w:cs="宋体" w:hint="eastAsia"/>
        </w:rPr>
        <w:t>的速率（扇出限制）记录高达八倍的符合计数，而没有损失。</w:t>
      </w:r>
    </w:p>
    <w:p w:rsidR="007B2AFF" w:rsidRDefault="007E783B">
      <w:pPr>
        <w:ind w:left="-15"/>
      </w:pPr>
      <w:r w:rsidRPr="007E783B">
        <w:t>CCM</w:t>
      </w:r>
      <w:r w:rsidRPr="007E783B">
        <w:rPr>
          <w:rFonts w:ascii="宋体" w:eastAsia="宋体" w:hAnsi="宋体" w:cs="宋体" w:hint="eastAsia"/>
        </w:rPr>
        <w:t>也用来自线性反馈移位寄存器（</w:t>
      </w:r>
      <w:r w:rsidRPr="007E783B">
        <w:t>LFSR</w:t>
      </w:r>
      <w:r w:rsidRPr="007E783B">
        <w:rPr>
          <w:rFonts w:ascii="宋体" w:eastAsia="宋体" w:hAnsi="宋体" w:cs="宋体" w:hint="eastAsia"/>
        </w:rPr>
        <w:t>）的脉冲进行测试，该线性反馈移位寄存器（</w:t>
      </w:r>
      <w:r w:rsidRPr="007E783B">
        <w:t>LFSR</w:t>
      </w:r>
      <w:r w:rsidRPr="007E783B">
        <w:rPr>
          <w:rFonts w:ascii="宋体" w:eastAsia="宋体" w:hAnsi="宋体" w:cs="宋体" w:hint="eastAsia"/>
        </w:rPr>
        <w:t>）产生可控平均速率高达</w:t>
      </w:r>
      <w:r w:rsidRPr="007E783B">
        <w:t>10MHz</w:t>
      </w:r>
      <w:r w:rsidRPr="007E783B">
        <w:rPr>
          <w:rFonts w:ascii="宋体" w:eastAsia="宋体" w:hAnsi="宋体" w:cs="宋体" w:hint="eastAsia"/>
        </w:rPr>
        <w:t>的伪随机二进制</w:t>
      </w:r>
      <w:r w:rsidRPr="007E783B">
        <w:t>TTL</w:t>
      </w:r>
      <w:r w:rsidRPr="007E783B">
        <w:rPr>
          <w:rFonts w:ascii="宋体" w:eastAsia="宋体" w:hAnsi="宋体" w:cs="宋体" w:hint="eastAsia"/>
        </w:rPr>
        <w:t>输出。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图</w:t>
      </w:r>
      <w:r w:rsidRPr="007E783B">
        <w:t>3</w:t>
      </w:r>
      <w:r w:rsidRPr="007E783B">
        <w:rPr>
          <w:rFonts w:ascii="宋体" w:eastAsia="宋体" w:hAnsi="宋体" w:cs="宋体" w:hint="eastAsia"/>
        </w:rPr>
        <w:t>显示了所有四个输入通道的</w:t>
      </w:r>
      <w:r w:rsidRPr="007E783B">
        <w:t>CCM</w:t>
      </w:r>
      <w:r w:rsidRPr="007E783B">
        <w:rPr>
          <w:rFonts w:ascii="宋体" w:eastAsia="宋体" w:hAnsi="宋体" w:cs="宋体" w:hint="eastAsia"/>
        </w:rPr>
        <w:t>的单通道响应。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观察到</w:t>
      </w:r>
      <w:r w:rsidRPr="007E783B">
        <w:t>CCM</w:t>
      </w:r>
      <w:r w:rsidRPr="007E783B">
        <w:rPr>
          <w:rFonts w:ascii="宋体" w:eastAsia="宋体" w:hAnsi="宋体" w:cs="宋体" w:hint="eastAsia"/>
        </w:rPr>
        <w:t>精确计数输入脉冲，一直到</w:t>
      </w:r>
      <w:r w:rsidRPr="007E783B">
        <w:t>LFSR</w:t>
      </w:r>
      <w:r w:rsidRPr="007E783B">
        <w:rPr>
          <w:rFonts w:ascii="宋体" w:eastAsia="宋体" w:hAnsi="宋体" w:cs="宋体" w:hint="eastAsia"/>
        </w:rPr>
        <w:t>的最大输出速率。</w:t>
      </w:r>
    </w:p>
    <w:p w:rsidR="007E783B" w:rsidRDefault="007E783B" w:rsidP="007E783B">
      <w:pPr>
        <w:spacing w:after="104" w:line="259" w:lineRule="auto"/>
        <w:ind w:left="0" w:firstLine="0"/>
        <w:jc w:val="left"/>
      </w:pPr>
      <w:r>
        <w:rPr>
          <w:rFonts w:ascii="宋体" w:eastAsia="宋体" w:hAnsi="宋体" w:cs="宋体" w:hint="eastAsia"/>
        </w:rPr>
        <w:t>符</w:t>
      </w:r>
      <w:r w:rsidRPr="00A120CF">
        <w:rPr>
          <w:rFonts w:ascii="宋体" w:eastAsia="宋体" w:hAnsi="宋体" w:cs="宋体" w:hint="eastAsia"/>
        </w:rPr>
        <w:t>合时间是使用两对独立的</w:t>
      </w:r>
      <w:r w:rsidRPr="00A120CF">
        <w:t>LFSR</w:t>
      </w:r>
      <w:r w:rsidRPr="00A120CF">
        <w:rPr>
          <w:rFonts w:ascii="宋体" w:eastAsia="宋体" w:hAnsi="宋体" w:cs="宋体" w:hint="eastAsia"/>
        </w:rPr>
        <w:t>在输入对上测量的。</w:t>
      </w:r>
      <w:r w:rsidRPr="00A120CF">
        <w:t xml:space="preserve"> </w:t>
      </w:r>
      <w:r w:rsidRPr="00A120CF">
        <w:rPr>
          <w:rFonts w:ascii="宋体" w:eastAsia="宋体" w:hAnsi="宋体" w:cs="宋体" w:hint="eastAsia"/>
        </w:rPr>
        <w:t>对于在输入</w:t>
      </w:r>
      <w:r w:rsidRPr="00A120CF">
        <w:t>A</w:t>
      </w:r>
      <w:r w:rsidRPr="00A120CF">
        <w:rPr>
          <w:rFonts w:ascii="宋体" w:eastAsia="宋体" w:hAnsi="宋体" w:cs="宋体" w:hint="eastAsia"/>
        </w:rPr>
        <w:t>和</w:t>
      </w:r>
      <w:r w:rsidRPr="00A120CF">
        <w:t>B</w:t>
      </w:r>
      <w:r w:rsidRPr="00A120CF">
        <w:rPr>
          <w:rFonts w:ascii="宋体" w:eastAsia="宋体" w:hAnsi="宋体" w:cs="宋体" w:hint="eastAsia"/>
        </w:rPr>
        <w:t>中具有平均速率</w:t>
      </w:r>
      <w:r>
        <w:rPr>
          <w:i/>
        </w:rPr>
        <w:t>R</w:t>
      </w:r>
      <w:r>
        <w:rPr>
          <w:i/>
          <w:vertAlign w:val="subscript"/>
        </w:rPr>
        <w:t>A</w:t>
      </w:r>
      <w:r>
        <w:t xml:space="preserve"> </w:t>
      </w:r>
      <w:r>
        <w:rPr>
          <w:rFonts w:asciiTheme="minorEastAsia" w:eastAsiaTheme="minorEastAsia" w:hAnsiTheme="minorEastAsia" w:hint="eastAsia"/>
        </w:rPr>
        <w:t>和</w:t>
      </w:r>
      <w:r>
        <w:t xml:space="preserve"> </w:t>
      </w:r>
      <w:r>
        <w:rPr>
          <w:i/>
        </w:rPr>
        <w:t>R</w:t>
      </w:r>
      <w:r>
        <w:rPr>
          <w:i/>
          <w:vertAlign w:val="subscript"/>
        </w:rPr>
        <w:t>B</w:t>
      </w:r>
      <w:r>
        <w:t xml:space="preserve"> </w:t>
      </w:r>
      <w:r w:rsidRPr="00A120CF">
        <w:rPr>
          <w:rFonts w:ascii="宋体" w:eastAsia="宋体" w:hAnsi="宋体" w:cs="宋体" w:hint="eastAsia"/>
        </w:rPr>
        <w:t>随机到达脉冲，符合率</w:t>
      </w:r>
      <w:r>
        <w:rPr>
          <w:i/>
        </w:rPr>
        <w:t>R</w:t>
      </w:r>
      <w:r>
        <w:rPr>
          <w:i/>
          <w:vertAlign w:val="subscript"/>
        </w:rPr>
        <w:t>AB</w:t>
      </w:r>
      <w:r w:rsidRPr="00A120CF">
        <w:rPr>
          <w:rFonts w:ascii="宋体" w:eastAsia="宋体" w:hAnsi="宋体" w:cs="宋体" w:hint="eastAsia"/>
        </w:rPr>
        <w:t>由下式给出</w:t>
      </w:r>
      <w:r>
        <w:t xml:space="preserve"> </w:t>
      </w:r>
    </w:p>
    <w:p w:rsidR="007E783B" w:rsidRPr="00A120CF" w:rsidRDefault="007E783B" w:rsidP="007E783B">
      <w:pPr>
        <w:tabs>
          <w:tab w:val="center" w:pos="4521"/>
          <w:tab w:val="center" w:pos="9423"/>
        </w:tabs>
        <w:ind w:left="-15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7A555CD" wp14:editId="3CD94C20">
            <wp:extent cx="940280" cy="3066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9167" cy="3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rFonts w:asciiTheme="minorEastAsia" w:eastAsiaTheme="minorEastAsia" w:hAnsiTheme="minorEastAsia" w:hint="eastAsia"/>
        </w:rPr>
        <w:t>1</w:t>
      </w:r>
      <w:r>
        <w:t>)</w:t>
      </w:r>
    </w:p>
    <w:p w:rsidR="007B2AFF" w:rsidRDefault="007E783B" w:rsidP="007E783B">
      <w:pPr>
        <w:spacing w:line="343" w:lineRule="auto"/>
        <w:ind w:left="-15"/>
      </w:pPr>
      <w:r w:rsidRPr="00A120CF">
        <w:rPr>
          <w:rFonts w:ascii="宋体" w:eastAsia="宋体" w:hAnsi="宋体" w:cs="宋体" w:hint="eastAsia"/>
        </w:rPr>
        <w:lastRenderedPageBreak/>
        <w:t>其中</w:t>
      </w:r>
      <w:proofErr w:type="spellStart"/>
      <w:r>
        <w:t>τ</w:t>
      </w:r>
      <w:r>
        <w:rPr>
          <w:vertAlign w:val="subscript"/>
        </w:rPr>
        <w:t>c</w:t>
      </w:r>
      <w:proofErr w:type="spellEnd"/>
      <w:r w:rsidRPr="00A120CF"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 w:hint="eastAsia"/>
        </w:rPr>
        <w:t>符</w:t>
      </w:r>
      <w:r w:rsidRPr="00A120CF">
        <w:rPr>
          <w:rFonts w:ascii="宋体" w:eastAsia="宋体" w:hAnsi="宋体" w:cs="宋体" w:hint="eastAsia"/>
        </w:rPr>
        <w:t>合时间，等于脉冲持续时间</w:t>
      </w:r>
      <w:r w:rsidRPr="00A120CF">
        <w:t>τ</w:t>
      </w:r>
      <w:r w:rsidRPr="00A120CF">
        <w:rPr>
          <w:rFonts w:ascii="宋体" w:eastAsia="宋体" w:hAnsi="宋体" w:cs="宋体" w:hint="eastAsia"/>
        </w:rPr>
        <w:t>的两倍减去足够重叠所需的</w:t>
      </w:r>
      <w:proofErr w:type="gramStart"/>
      <w:r w:rsidRPr="00A120CF">
        <w:rPr>
          <w:rFonts w:ascii="宋体" w:eastAsia="宋体" w:hAnsi="宋体" w:cs="宋体" w:hint="eastAsia"/>
        </w:rPr>
        <w:t>一</w:t>
      </w:r>
      <w:proofErr w:type="gramEnd"/>
      <w:r w:rsidRPr="00A120CF">
        <w:rPr>
          <w:rFonts w:ascii="宋体" w:eastAsia="宋体" w:hAnsi="宋体" w:cs="宋体" w:hint="eastAsia"/>
        </w:rPr>
        <w:t>小部分</w:t>
      </w:r>
      <w:r>
        <w:rPr>
          <w:rFonts w:ascii="宋体" w:eastAsia="宋体" w:hAnsi="宋体" w:cs="宋体" w:hint="eastAsia"/>
        </w:rPr>
        <w:t>。</w:t>
      </w:r>
      <w:r w:rsidR="000706D6">
        <w:rPr>
          <w:color w:val="0000FF"/>
          <w:vertAlign w:val="superscript"/>
        </w:rPr>
        <w:t xml:space="preserve">14 </w:t>
      </w:r>
      <w:r w:rsidRPr="00A120CF">
        <w:rPr>
          <w:rFonts w:ascii="宋体" w:eastAsia="宋体" w:hAnsi="宋体" w:cs="宋体" w:hint="eastAsia"/>
        </w:rPr>
        <w:t>数据的单参数拟合如图</w:t>
      </w:r>
      <w:r>
        <w:rPr>
          <w:rFonts w:asciiTheme="minorEastAsia" w:eastAsiaTheme="minorEastAsia" w:hAnsiTheme="minorEastAsia" w:hint="eastAsia"/>
        </w:rPr>
        <w:t>4</w:t>
      </w:r>
      <w:r w:rsidRPr="00A120CF">
        <w:rPr>
          <w:rFonts w:ascii="宋体" w:eastAsia="宋体" w:hAnsi="宋体" w:cs="宋体" w:hint="eastAsia"/>
        </w:rPr>
        <w:t>所示，对于跳</w:t>
      </w:r>
      <w:proofErr w:type="gramStart"/>
      <w:r w:rsidRPr="00A120CF">
        <w:rPr>
          <w:rFonts w:ascii="宋体" w:eastAsia="宋体" w:hAnsi="宋体" w:cs="宋体" w:hint="eastAsia"/>
        </w:rPr>
        <w:t>变位置</w:t>
      </w:r>
      <w:proofErr w:type="gramEnd"/>
      <w:r w:rsidRPr="00A120CF">
        <w:t>00,01</w:t>
      </w:r>
      <w:r w:rsidRPr="00A120CF">
        <w:rPr>
          <w:rFonts w:ascii="宋体" w:eastAsia="宋体" w:hAnsi="宋体" w:cs="宋体" w:hint="eastAsia"/>
        </w:rPr>
        <w:t>和</w:t>
      </w:r>
      <w:r w:rsidRPr="00A120CF">
        <w:t>10</w:t>
      </w:r>
      <w:r w:rsidRPr="00A120CF">
        <w:rPr>
          <w:rFonts w:ascii="宋体" w:eastAsia="宋体" w:hAnsi="宋体" w:cs="宋体" w:hint="eastAsia"/>
        </w:rPr>
        <w:t>产生</w:t>
      </w:r>
      <w:proofErr w:type="spellStart"/>
      <w:r>
        <w:t>τ</w:t>
      </w:r>
      <w:r>
        <w:rPr>
          <w:vertAlign w:val="subscript"/>
        </w:rPr>
        <w:t>c</w:t>
      </w:r>
      <w:proofErr w:type="spellEnd"/>
      <w:r>
        <w:t xml:space="preserve"> </w:t>
      </w:r>
      <w:r w:rsidRPr="00A120CF">
        <w:t>= 12.033±0.006ns</w:t>
      </w:r>
      <w:r w:rsidRPr="00A120CF">
        <w:rPr>
          <w:rFonts w:ascii="宋体" w:eastAsia="宋体" w:hAnsi="宋体" w:cs="宋体" w:hint="eastAsia"/>
        </w:rPr>
        <w:t>，</w:t>
      </w:r>
      <w:r w:rsidRPr="00A120CF">
        <w:t>14.56±0.02ns</w:t>
      </w:r>
      <w:r w:rsidRPr="00A120CF">
        <w:rPr>
          <w:rFonts w:ascii="宋体" w:eastAsia="宋体" w:hAnsi="宋体" w:cs="宋体" w:hint="eastAsia"/>
        </w:rPr>
        <w:t>和</w:t>
      </w:r>
      <w:r w:rsidRPr="00A120CF">
        <w:t>20.38±0.09ns</w:t>
      </w:r>
      <w:r w:rsidRPr="00A120CF">
        <w:rPr>
          <w:rFonts w:ascii="宋体" w:eastAsia="宋体" w:hAnsi="宋体" w:cs="宋体" w:hint="eastAsia"/>
        </w:rPr>
        <w:t>的值。</w:t>
      </w:r>
      <w:r w:rsidRPr="007E783B">
        <w:rPr>
          <w:rFonts w:ascii="宋体" w:eastAsia="宋体" w:hAnsi="宋体" w:cs="宋体" w:hint="eastAsia"/>
        </w:rPr>
        <w:t>使用两个</w:t>
      </w:r>
      <w:r w:rsidRPr="007E783B">
        <w:t>SPCM</w:t>
      </w:r>
      <w:r w:rsidRPr="007E783B">
        <w:rPr>
          <w:rFonts w:ascii="宋体" w:eastAsia="宋体" w:hAnsi="宋体" w:cs="宋体" w:hint="eastAsia"/>
        </w:rPr>
        <w:t>和来自激光器的散射光（其应该在两个检测器处产生独立的光子随机流）测量符合时间，通过方程式产生</w:t>
      </w:r>
      <w:proofErr w:type="spellStart"/>
      <w:r w:rsidRPr="007E783B">
        <w:t>τc</w:t>
      </w:r>
      <w:proofErr w:type="spellEnd"/>
      <w:r w:rsidRPr="007E783B">
        <w:t>= 12.140±0.007,14.133±0.008</w:t>
      </w:r>
      <w:r w:rsidRPr="007E783B">
        <w:rPr>
          <w:rFonts w:ascii="宋体" w:eastAsia="宋体" w:hAnsi="宋体" w:cs="宋体" w:hint="eastAsia"/>
        </w:rPr>
        <w:t>和</w:t>
      </w:r>
      <w:r w:rsidRPr="007E783B">
        <w:t>21.47±0.014ns</w:t>
      </w:r>
      <w:r w:rsidRPr="007E783B">
        <w:rPr>
          <w:rFonts w:ascii="宋体" w:eastAsia="宋体" w:hAnsi="宋体" w:cs="宋体" w:hint="eastAsia"/>
        </w:rPr>
        <w:t>的值。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由于输入脉冲高度和</w:t>
      </w:r>
      <w:r w:rsidRPr="007E783B">
        <w:t>SPCM</w:t>
      </w:r>
      <w:r w:rsidRPr="007E783B">
        <w:rPr>
          <w:rFonts w:ascii="宋体" w:eastAsia="宋体" w:hAnsi="宋体" w:cs="宋体" w:hint="eastAsia"/>
        </w:rPr>
        <w:t>形状的差异，这些符合时间与</w:t>
      </w:r>
      <w:r w:rsidRPr="007E783B">
        <w:t>LFSR</w:t>
      </w:r>
      <w:r w:rsidRPr="007E783B">
        <w:rPr>
          <w:rFonts w:ascii="宋体" w:eastAsia="宋体" w:hAnsi="宋体" w:cs="宋体" w:hint="eastAsia"/>
        </w:rPr>
        <w:t>测量的符合时间略有不同。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在脉冲整形电路的输出脉冲的持续时间内，两种方法的</w:t>
      </w:r>
      <w:proofErr w:type="spellStart"/>
      <w:r w:rsidRPr="007E783B">
        <w:t>τc</w:t>
      </w:r>
      <w:proofErr w:type="spellEnd"/>
      <w:r w:rsidRPr="007E783B">
        <w:rPr>
          <w:rFonts w:ascii="宋体" w:eastAsia="宋体" w:hAnsi="宋体" w:cs="宋体" w:hint="eastAsia"/>
        </w:rPr>
        <w:t>测量值都与我们预期的时间一致。</w:t>
      </w:r>
    </w:p>
    <w:p w:rsidR="007B2AFF" w:rsidRDefault="007E783B">
      <w:pPr>
        <w:spacing w:after="239"/>
        <w:ind w:left="-15"/>
      </w:pPr>
      <w:r w:rsidRPr="007E783B">
        <w:rPr>
          <w:rFonts w:ascii="宋体" w:eastAsia="宋体" w:hAnsi="宋体" w:cs="宋体" w:hint="eastAsia"/>
        </w:rPr>
        <w:t>总之，对于不需要单独光子检测的时间标记的应用，我们的</w:t>
      </w:r>
      <w:r w:rsidRPr="007E783B">
        <w:t>CCM</w:t>
      </w:r>
      <w:r w:rsidRPr="007E783B">
        <w:rPr>
          <w:rFonts w:ascii="宋体" w:eastAsia="宋体" w:hAnsi="宋体" w:cs="宋体" w:hint="eastAsia"/>
        </w:rPr>
        <w:t>提供了一些有吸引力的特征。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它需要四个输入，并在八个计数通道上确定用户可选的两个，三个或四个重合（或单个计数）。</w:t>
      </w:r>
      <w:r w:rsidRPr="007E783B">
        <w:t xml:space="preserve"> CCM</w:t>
      </w:r>
      <w:r w:rsidRPr="007E783B">
        <w:rPr>
          <w:rFonts w:ascii="宋体" w:eastAsia="宋体" w:hAnsi="宋体" w:cs="宋体" w:hint="eastAsia"/>
        </w:rPr>
        <w:t>具有</w:t>
      </w:r>
      <w:r w:rsidRPr="007E783B">
        <w:t>84 MHz</w:t>
      </w:r>
      <w:r w:rsidRPr="007E783B">
        <w:rPr>
          <w:rFonts w:ascii="宋体" w:eastAsia="宋体" w:hAnsi="宋体" w:cs="宋体" w:hint="eastAsia"/>
        </w:rPr>
        <w:t>的最高计数率，其重合分辨率低至</w:t>
      </w:r>
      <w:r w:rsidRPr="007E783B">
        <w:t>12 ns</w:t>
      </w:r>
      <w:r w:rsidRPr="007E783B">
        <w:rPr>
          <w:rFonts w:ascii="宋体" w:eastAsia="宋体" w:hAnsi="宋体" w:cs="宋体" w:hint="eastAsia"/>
        </w:rPr>
        <w:t>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此外，几个</w:t>
      </w:r>
      <w:r w:rsidRPr="007E783B">
        <w:t>CCM</w:t>
      </w:r>
      <w:r w:rsidRPr="007E783B">
        <w:rPr>
          <w:rFonts w:ascii="宋体" w:eastAsia="宋体" w:hAnsi="宋体" w:cs="宋体" w:hint="eastAsia"/>
        </w:rPr>
        <w:t>可以级联在一起，以计算</w:t>
      </w:r>
      <w:r w:rsidRPr="007E783B">
        <w:t>N</w:t>
      </w:r>
      <w:proofErr w:type="gramStart"/>
      <w:r w:rsidRPr="007E783B">
        <w:rPr>
          <w:rFonts w:ascii="宋体" w:eastAsia="宋体" w:hAnsi="宋体" w:cs="宋体" w:hint="eastAsia"/>
        </w:rPr>
        <w:t>个</w:t>
      </w:r>
      <w:proofErr w:type="gramEnd"/>
      <w:r w:rsidRPr="007E783B">
        <w:rPr>
          <w:rFonts w:ascii="宋体" w:eastAsia="宋体" w:hAnsi="宋体" w:cs="宋体" w:hint="eastAsia"/>
        </w:rPr>
        <w:t>输入之间的任意</w:t>
      </w:r>
      <w:r w:rsidRPr="007E783B">
        <w:t>M</w:t>
      </w:r>
      <w:r w:rsidRPr="007E783B">
        <w:rPr>
          <w:rFonts w:ascii="宋体" w:eastAsia="宋体" w:hAnsi="宋体" w:cs="宋体" w:hint="eastAsia"/>
        </w:rPr>
        <w:t>阶重合。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由于其体积小，成本低，用户界面直观，</w:t>
      </w:r>
      <w:r w:rsidRPr="007E783B">
        <w:t>CCM</w:t>
      </w:r>
      <w:r w:rsidRPr="007E783B">
        <w:rPr>
          <w:rFonts w:ascii="宋体" w:eastAsia="宋体" w:hAnsi="宋体" w:cs="宋体" w:hint="eastAsia"/>
        </w:rPr>
        <w:t>也非常适合本科物理实验室。</w:t>
      </w:r>
    </w:p>
    <w:p w:rsidR="007B2AFF" w:rsidRDefault="007E783B">
      <w:pPr>
        <w:spacing w:after="222"/>
        <w:ind w:left="-15"/>
      </w:pPr>
      <w:r w:rsidRPr="007E783B">
        <w:rPr>
          <w:rFonts w:ascii="宋体" w:eastAsia="宋体" w:hAnsi="宋体" w:cs="宋体" w:hint="eastAsia"/>
        </w:rPr>
        <w:t>感谢</w:t>
      </w:r>
      <w:r w:rsidRPr="007E783B">
        <w:t xml:space="preserve">David </w:t>
      </w:r>
      <w:proofErr w:type="spellStart"/>
      <w:r w:rsidRPr="007E783B">
        <w:t>Ahlgren</w:t>
      </w:r>
      <w:proofErr w:type="spellEnd"/>
      <w:r w:rsidRPr="007E783B">
        <w:rPr>
          <w:rFonts w:ascii="宋体" w:eastAsia="宋体" w:hAnsi="宋体" w:cs="宋体" w:hint="eastAsia"/>
        </w:rPr>
        <w:t>，</w:t>
      </w:r>
      <w:proofErr w:type="spellStart"/>
      <w:r w:rsidRPr="007E783B">
        <w:t>Sagar</w:t>
      </w:r>
      <w:proofErr w:type="spellEnd"/>
      <w:r w:rsidRPr="007E783B">
        <w:t xml:space="preserve"> Bhandari</w:t>
      </w:r>
      <w:r w:rsidRPr="007E783B">
        <w:rPr>
          <w:rFonts w:ascii="宋体" w:eastAsia="宋体" w:hAnsi="宋体" w:cs="宋体" w:hint="eastAsia"/>
        </w:rPr>
        <w:t>，</w:t>
      </w:r>
      <w:r w:rsidRPr="007E783B">
        <w:t>John Bower</w:t>
      </w:r>
      <w:r w:rsidRPr="007E783B">
        <w:rPr>
          <w:rFonts w:ascii="宋体" w:eastAsia="宋体" w:hAnsi="宋体" w:cs="宋体" w:hint="eastAsia"/>
        </w:rPr>
        <w:t>，</w:t>
      </w:r>
      <w:r w:rsidRPr="007E783B">
        <w:t xml:space="preserve">Adam </w:t>
      </w:r>
      <w:proofErr w:type="spellStart"/>
      <w:r w:rsidRPr="007E783B">
        <w:t>Katcher</w:t>
      </w:r>
      <w:proofErr w:type="spellEnd"/>
      <w:r w:rsidRPr="007E783B">
        <w:rPr>
          <w:rFonts w:ascii="宋体" w:eastAsia="宋体" w:hAnsi="宋体" w:cs="宋体" w:hint="eastAsia"/>
        </w:rPr>
        <w:t>，</w:t>
      </w:r>
      <w:r w:rsidRPr="007E783B">
        <w:t>Larry North</w:t>
      </w:r>
      <w:r w:rsidRPr="007E783B">
        <w:rPr>
          <w:rFonts w:ascii="宋体" w:eastAsia="宋体" w:hAnsi="宋体" w:cs="宋体" w:hint="eastAsia"/>
        </w:rPr>
        <w:t>，</w:t>
      </w:r>
      <w:r w:rsidRPr="007E783B">
        <w:t xml:space="preserve">Steve </w:t>
      </w:r>
      <w:proofErr w:type="spellStart"/>
      <w:r w:rsidRPr="007E783B">
        <w:t>Petkovsek</w:t>
      </w:r>
      <w:proofErr w:type="spellEnd"/>
      <w:r w:rsidRPr="007E783B">
        <w:rPr>
          <w:rFonts w:ascii="宋体" w:eastAsia="宋体" w:hAnsi="宋体" w:cs="宋体" w:hint="eastAsia"/>
        </w:rPr>
        <w:t>，</w:t>
      </w:r>
      <w:r w:rsidRPr="007E783B">
        <w:t>Wayne Strange</w:t>
      </w:r>
      <w:r w:rsidRPr="007E783B">
        <w:rPr>
          <w:rFonts w:ascii="宋体" w:eastAsia="宋体" w:hAnsi="宋体" w:cs="宋体" w:hint="eastAsia"/>
        </w:rPr>
        <w:t>和</w:t>
      </w:r>
      <w:r w:rsidRPr="007E783B">
        <w:t>Jared Zimmerman</w:t>
      </w:r>
      <w:r w:rsidRPr="007E783B">
        <w:rPr>
          <w:rFonts w:ascii="宋体" w:eastAsia="宋体" w:hAnsi="宋体" w:cs="宋体" w:hint="eastAsia"/>
        </w:rPr>
        <w:t>在设计，装配和测试方面的帮助。</w:t>
      </w:r>
      <w:r w:rsidRPr="007E783B">
        <w:t xml:space="preserve"> </w:t>
      </w:r>
      <w:r w:rsidRPr="007E783B">
        <w:rPr>
          <w:rFonts w:ascii="宋体" w:eastAsia="宋体" w:hAnsi="宋体" w:cs="宋体" w:hint="eastAsia"/>
        </w:rPr>
        <w:t>这项工作是由美国宇航局通过康涅狄格</w:t>
      </w:r>
      <w:proofErr w:type="gramStart"/>
      <w:r w:rsidRPr="007E783B">
        <w:rPr>
          <w:rFonts w:ascii="宋体" w:eastAsia="宋体" w:hAnsi="宋体" w:cs="宋体" w:hint="eastAsia"/>
        </w:rPr>
        <w:t>州空间格</w:t>
      </w:r>
      <w:proofErr w:type="gramEnd"/>
      <w:r w:rsidRPr="007E783B">
        <w:rPr>
          <w:rFonts w:ascii="宋体" w:eastAsia="宋体" w:hAnsi="宋体" w:cs="宋体" w:hint="eastAsia"/>
        </w:rPr>
        <w:t>兰</w:t>
      </w:r>
      <w:proofErr w:type="gramStart"/>
      <w:r w:rsidRPr="007E783B">
        <w:rPr>
          <w:rFonts w:ascii="宋体" w:eastAsia="宋体" w:hAnsi="宋体" w:cs="宋体" w:hint="eastAsia"/>
        </w:rPr>
        <w:t>特</w:t>
      </w:r>
      <w:proofErr w:type="gramEnd"/>
      <w:r w:rsidRPr="007E783B">
        <w:rPr>
          <w:rFonts w:ascii="宋体" w:eastAsia="宋体" w:hAnsi="宋体" w:cs="宋体" w:hint="eastAsia"/>
        </w:rPr>
        <w:t>学院联盟支持的。</w:t>
      </w:r>
    </w:p>
    <w:p w:rsidR="007B2AFF" w:rsidRDefault="000706D6">
      <w:pPr>
        <w:spacing w:after="21" w:line="259" w:lineRule="auto"/>
        <w:ind w:left="55" w:hanging="10"/>
      </w:pPr>
      <w:r>
        <w:rPr>
          <w:sz w:val="16"/>
          <w:vertAlign w:val="superscript"/>
        </w:rPr>
        <w:t>1</w:t>
      </w:r>
      <w:r>
        <w:rPr>
          <w:sz w:val="16"/>
        </w:rPr>
        <w:t xml:space="preserve">J. </w:t>
      </w:r>
      <w:proofErr w:type="spellStart"/>
      <w:r>
        <w:rPr>
          <w:sz w:val="16"/>
        </w:rPr>
        <w:t>Gea-Banacloche</w:t>
      </w:r>
      <w:proofErr w:type="spellEnd"/>
      <w:r>
        <w:rPr>
          <w:sz w:val="16"/>
        </w:rPr>
        <w:t xml:space="preserve">, </w:t>
      </w:r>
      <w:hyperlink r:id="rId16">
        <w:r>
          <w:rPr>
            <w:color w:val="0000FF"/>
            <w:sz w:val="16"/>
          </w:rPr>
          <w:t>Prog. Opt.</w:t>
        </w:r>
      </w:hyperlink>
      <w:r>
        <w:rPr>
          <w:color w:val="0000FF"/>
          <w:sz w:val="16"/>
        </w:rPr>
        <w:t xml:space="preserve"> </w:t>
      </w:r>
      <w:r>
        <w:rPr>
          <w:b/>
          <w:sz w:val="16"/>
        </w:rPr>
        <w:t>46</w:t>
      </w:r>
      <w:r>
        <w:rPr>
          <w:sz w:val="16"/>
        </w:rPr>
        <w:t>, 311 (2004).</w:t>
      </w:r>
    </w:p>
    <w:p w:rsidR="007B2AFF" w:rsidRDefault="000706D6">
      <w:pPr>
        <w:spacing w:after="21" w:line="259" w:lineRule="auto"/>
        <w:ind w:left="115" w:hanging="70"/>
      </w:pPr>
      <w:r>
        <w:rPr>
          <w:sz w:val="16"/>
          <w:vertAlign w:val="superscript"/>
        </w:rPr>
        <w:t>2</w:t>
      </w:r>
      <w:r>
        <w:rPr>
          <w:sz w:val="16"/>
        </w:rPr>
        <w:t xml:space="preserve">P. </w:t>
      </w:r>
      <w:proofErr w:type="spellStart"/>
      <w:r>
        <w:rPr>
          <w:sz w:val="16"/>
        </w:rPr>
        <w:t>Kok</w:t>
      </w:r>
      <w:proofErr w:type="spellEnd"/>
      <w:r>
        <w:rPr>
          <w:sz w:val="16"/>
        </w:rPr>
        <w:t xml:space="preserve">, W. J. Munro, T. C. Ralph, J. P. Dowling, and G. J. Milburn, </w:t>
      </w:r>
      <w:hyperlink r:id="rId17">
        <w:r>
          <w:rPr>
            <w:color w:val="0000FF"/>
            <w:sz w:val="16"/>
          </w:rPr>
          <w:t xml:space="preserve">Rev. </w:t>
        </w:r>
      </w:hyperlink>
      <w:hyperlink r:id="rId18">
        <w:r>
          <w:rPr>
            <w:color w:val="0000FF"/>
            <w:sz w:val="16"/>
          </w:rPr>
          <w:t>Mod. Phys.</w:t>
        </w:r>
      </w:hyperlink>
      <w:r>
        <w:rPr>
          <w:color w:val="0000FF"/>
          <w:sz w:val="16"/>
        </w:rPr>
        <w:t xml:space="preserve"> </w:t>
      </w:r>
      <w:r>
        <w:rPr>
          <w:b/>
          <w:sz w:val="16"/>
        </w:rPr>
        <w:t>79</w:t>
      </w:r>
      <w:r>
        <w:rPr>
          <w:sz w:val="16"/>
        </w:rPr>
        <w:t>, 135 (2007).</w:t>
      </w:r>
    </w:p>
    <w:p w:rsidR="007B2AFF" w:rsidRDefault="000706D6">
      <w:pPr>
        <w:spacing w:after="21" w:line="259" w:lineRule="auto"/>
        <w:ind w:left="115" w:hanging="70"/>
      </w:pPr>
      <w:r>
        <w:rPr>
          <w:sz w:val="16"/>
          <w:vertAlign w:val="superscript"/>
        </w:rPr>
        <w:t>3</w:t>
      </w:r>
      <w:r>
        <w:rPr>
          <w:sz w:val="16"/>
        </w:rPr>
        <w:t xml:space="preserve">V. </w:t>
      </w:r>
      <w:proofErr w:type="spellStart"/>
      <w:r>
        <w:rPr>
          <w:sz w:val="16"/>
        </w:rPr>
        <w:t>Scarani</w:t>
      </w:r>
      <w:proofErr w:type="spellEnd"/>
      <w:r>
        <w:rPr>
          <w:sz w:val="16"/>
        </w:rPr>
        <w:t xml:space="preserve">, H. </w:t>
      </w:r>
      <w:proofErr w:type="spellStart"/>
      <w:r>
        <w:rPr>
          <w:sz w:val="16"/>
        </w:rPr>
        <w:t>Bechmann-Pasquinucci</w:t>
      </w:r>
      <w:proofErr w:type="spellEnd"/>
      <w:r>
        <w:rPr>
          <w:sz w:val="16"/>
        </w:rPr>
        <w:t xml:space="preserve">, N. Cerf, M. </w:t>
      </w:r>
      <w:proofErr w:type="spellStart"/>
      <w:r>
        <w:rPr>
          <w:sz w:val="16"/>
        </w:rPr>
        <w:t>Dusek</w:t>
      </w:r>
      <w:proofErr w:type="spellEnd"/>
      <w:r>
        <w:rPr>
          <w:sz w:val="16"/>
        </w:rPr>
        <w:t xml:space="preserve">, N. </w:t>
      </w:r>
      <w:proofErr w:type="spellStart"/>
      <w:r>
        <w:rPr>
          <w:sz w:val="16"/>
        </w:rPr>
        <w:t>Lütkenhaus</w:t>
      </w:r>
      <w:proofErr w:type="spellEnd"/>
      <w:r>
        <w:rPr>
          <w:sz w:val="16"/>
        </w:rPr>
        <w:t xml:space="preserve">, and M. </w:t>
      </w:r>
      <w:proofErr w:type="spellStart"/>
      <w:r>
        <w:rPr>
          <w:sz w:val="16"/>
        </w:rPr>
        <w:t>Peev</w:t>
      </w:r>
      <w:proofErr w:type="spellEnd"/>
      <w:r>
        <w:rPr>
          <w:sz w:val="16"/>
        </w:rPr>
        <w:t xml:space="preserve">, </w:t>
      </w:r>
      <w:hyperlink r:id="rId19">
        <w:r>
          <w:rPr>
            <w:color w:val="0000FF"/>
            <w:sz w:val="16"/>
          </w:rPr>
          <w:t>Rev. Mod. Phys.</w:t>
        </w:r>
      </w:hyperlink>
      <w:r>
        <w:rPr>
          <w:color w:val="0000FF"/>
          <w:sz w:val="16"/>
        </w:rPr>
        <w:t xml:space="preserve"> </w:t>
      </w:r>
      <w:r>
        <w:rPr>
          <w:b/>
          <w:sz w:val="16"/>
        </w:rPr>
        <w:t>81</w:t>
      </w:r>
      <w:r>
        <w:rPr>
          <w:sz w:val="16"/>
        </w:rPr>
        <w:t>, 1301 (2009).</w:t>
      </w:r>
    </w:p>
    <w:p w:rsidR="007B2AFF" w:rsidRDefault="000706D6">
      <w:pPr>
        <w:spacing w:after="21" w:line="259" w:lineRule="auto"/>
        <w:ind w:left="115" w:hanging="70"/>
      </w:pPr>
      <w:r>
        <w:rPr>
          <w:sz w:val="16"/>
          <w:vertAlign w:val="superscript"/>
        </w:rPr>
        <w:t>4</w:t>
      </w:r>
      <w:r>
        <w:rPr>
          <w:sz w:val="16"/>
        </w:rPr>
        <w:t xml:space="preserve">S. </w:t>
      </w:r>
      <w:proofErr w:type="spellStart"/>
      <w:r>
        <w:rPr>
          <w:sz w:val="16"/>
        </w:rPr>
        <w:t>Gaertner</w:t>
      </w:r>
      <w:proofErr w:type="spellEnd"/>
      <w:r>
        <w:rPr>
          <w:sz w:val="16"/>
        </w:rPr>
        <w:t xml:space="preserve">, H. </w:t>
      </w:r>
      <w:proofErr w:type="spellStart"/>
      <w:r>
        <w:rPr>
          <w:sz w:val="16"/>
        </w:rPr>
        <w:t>Weinfurter</w:t>
      </w:r>
      <w:proofErr w:type="spellEnd"/>
      <w:r>
        <w:rPr>
          <w:sz w:val="16"/>
        </w:rPr>
        <w:t xml:space="preserve">, and C. </w:t>
      </w:r>
      <w:proofErr w:type="spellStart"/>
      <w:r>
        <w:rPr>
          <w:sz w:val="16"/>
        </w:rPr>
        <w:t>Kurtsiefer</w:t>
      </w:r>
      <w:proofErr w:type="spellEnd"/>
      <w:r>
        <w:rPr>
          <w:sz w:val="16"/>
        </w:rPr>
        <w:t xml:space="preserve">, </w:t>
      </w:r>
      <w:hyperlink r:id="rId20">
        <w:r>
          <w:rPr>
            <w:color w:val="0000FF"/>
            <w:sz w:val="16"/>
          </w:rPr>
          <w:t>Rev. Sci. Instrum.</w:t>
        </w:r>
      </w:hyperlink>
      <w:r>
        <w:rPr>
          <w:color w:val="0000FF"/>
          <w:sz w:val="16"/>
        </w:rPr>
        <w:t xml:space="preserve"> </w:t>
      </w:r>
      <w:r>
        <w:rPr>
          <w:b/>
          <w:sz w:val="16"/>
        </w:rPr>
        <w:t>76</w:t>
      </w:r>
      <w:r>
        <w:rPr>
          <w:sz w:val="16"/>
        </w:rPr>
        <w:t>, 123108 (2005).</w:t>
      </w:r>
    </w:p>
    <w:p w:rsidR="007B2AFF" w:rsidRDefault="000706D6">
      <w:pPr>
        <w:spacing w:after="21" w:line="259" w:lineRule="auto"/>
        <w:ind w:left="115" w:hanging="70"/>
      </w:pPr>
      <w:r>
        <w:rPr>
          <w:sz w:val="16"/>
          <w:vertAlign w:val="superscript"/>
        </w:rPr>
        <w:t>5</w:t>
      </w:r>
      <w:r>
        <w:rPr>
          <w:sz w:val="16"/>
        </w:rPr>
        <w:t>http://www2.physics.utoronto.ca/~astummer/pub/mirror/Projects/Archives/ Coincidence%20Counter/Coincidence%20Counter.html.</w:t>
      </w:r>
    </w:p>
    <w:p w:rsidR="007B2AFF" w:rsidRDefault="000706D6">
      <w:pPr>
        <w:spacing w:after="21" w:line="259" w:lineRule="auto"/>
        <w:ind w:left="55" w:hanging="10"/>
      </w:pPr>
      <w:r>
        <w:rPr>
          <w:sz w:val="16"/>
          <w:vertAlign w:val="superscript"/>
        </w:rPr>
        <w:t>6</w:t>
      </w:r>
      <w:r>
        <w:rPr>
          <w:sz w:val="16"/>
        </w:rPr>
        <w:t>http://www.nist.gov/physlab/div844/grp03/multicoincidence.cfm.</w:t>
      </w:r>
    </w:p>
    <w:p w:rsidR="007B2AFF" w:rsidRDefault="000706D6">
      <w:pPr>
        <w:spacing w:after="21" w:line="259" w:lineRule="auto"/>
        <w:ind w:left="115" w:hanging="70"/>
      </w:pPr>
      <w:r>
        <w:rPr>
          <w:sz w:val="16"/>
          <w:vertAlign w:val="superscript"/>
        </w:rPr>
        <w:t>7</w:t>
      </w:r>
      <w:r>
        <w:rPr>
          <w:sz w:val="16"/>
        </w:rPr>
        <w:t xml:space="preserve">S. </w:t>
      </w:r>
      <w:proofErr w:type="spellStart"/>
      <w:r>
        <w:rPr>
          <w:sz w:val="16"/>
        </w:rPr>
        <w:t>Felekyan</w:t>
      </w:r>
      <w:proofErr w:type="spellEnd"/>
      <w:r>
        <w:rPr>
          <w:sz w:val="16"/>
        </w:rPr>
        <w:t xml:space="preserve">, R. </w:t>
      </w:r>
      <w:proofErr w:type="spellStart"/>
      <w:r>
        <w:rPr>
          <w:sz w:val="16"/>
        </w:rPr>
        <w:t>Kuhnemuth</w:t>
      </w:r>
      <w:proofErr w:type="spellEnd"/>
      <w:r>
        <w:rPr>
          <w:sz w:val="16"/>
        </w:rPr>
        <w:t xml:space="preserve">, V. </w:t>
      </w:r>
      <w:proofErr w:type="spellStart"/>
      <w:r>
        <w:rPr>
          <w:sz w:val="16"/>
        </w:rPr>
        <w:t>Kudryavtsev</w:t>
      </w:r>
      <w:proofErr w:type="spellEnd"/>
      <w:r>
        <w:rPr>
          <w:sz w:val="16"/>
        </w:rPr>
        <w:t xml:space="preserve">, C. </w:t>
      </w:r>
      <w:proofErr w:type="spellStart"/>
      <w:r>
        <w:rPr>
          <w:sz w:val="16"/>
        </w:rPr>
        <w:t>Sandhagen</w:t>
      </w:r>
      <w:proofErr w:type="spellEnd"/>
      <w:r>
        <w:rPr>
          <w:sz w:val="16"/>
        </w:rPr>
        <w:t xml:space="preserve">, W. Becker, and C. A. M. </w:t>
      </w:r>
      <w:proofErr w:type="spellStart"/>
      <w:r>
        <w:rPr>
          <w:sz w:val="16"/>
        </w:rPr>
        <w:t>Siedel</w:t>
      </w:r>
      <w:proofErr w:type="spellEnd"/>
      <w:r>
        <w:rPr>
          <w:sz w:val="16"/>
        </w:rPr>
        <w:t xml:space="preserve">, </w:t>
      </w:r>
      <w:hyperlink r:id="rId21">
        <w:r>
          <w:rPr>
            <w:color w:val="0000FF"/>
            <w:sz w:val="16"/>
          </w:rPr>
          <w:t>Rev. Sci. Instrum.</w:t>
        </w:r>
      </w:hyperlink>
      <w:r>
        <w:rPr>
          <w:color w:val="0000FF"/>
          <w:sz w:val="16"/>
        </w:rPr>
        <w:t xml:space="preserve"> </w:t>
      </w:r>
      <w:r>
        <w:rPr>
          <w:b/>
          <w:sz w:val="16"/>
        </w:rPr>
        <w:t>76</w:t>
      </w:r>
      <w:r>
        <w:rPr>
          <w:sz w:val="16"/>
        </w:rPr>
        <w:t>, 083104 (2005).</w:t>
      </w:r>
    </w:p>
    <w:p w:rsidR="007B2AFF" w:rsidRDefault="000706D6">
      <w:pPr>
        <w:spacing w:after="21" w:line="259" w:lineRule="auto"/>
        <w:ind w:left="115" w:hanging="70"/>
      </w:pPr>
      <w:r>
        <w:rPr>
          <w:sz w:val="16"/>
          <w:vertAlign w:val="superscript"/>
        </w:rPr>
        <w:t>8</w:t>
      </w:r>
      <w:r>
        <w:rPr>
          <w:sz w:val="16"/>
        </w:rPr>
        <w:t xml:space="preserve">M. Wahl, H.-J. </w:t>
      </w:r>
      <w:proofErr w:type="spellStart"/>
      <w:r>
        <w:rPr>
          <w:sz w:val="16"/>
        </w:rPr>
        <w:t>Rahn</w:t>
      </w:r>
      <w:proofErr w:type="spellEnd"/>
      <w:r>
        <w:rPr>
          <w:sz w:val="16"/>
        </w:rPr>
        <w:t xml:space="preserve">, I. </w:t>
      </w:r>
      <w:proofErr w:type="spellStart"/>
      <w:r>
        <w:rPr>
          <w:sz w:val="16"/>
        </w:rPr>
        <w:t>Gregor</w:t>
      </w:r>
      <w:proofErr w:type="spellEnd"/>
      <w:r>
        <w:rPr>
          <w:sz w:val="16"/>
        </w:rPr>
        <w:t xml:space="preserve">, R. Erdmann, and J. </w:t>
      </w:r>
      <w:proofErr w:type="spellStart"/>
      <w:r>
        <w:rPr>
          <w:sz w:val="16"/>
        </w:rPr>
        <w:t>Enderlein</w:t>
      </w:r>
      <w:proofErr w:type="spellEnd"/>
      <w:r>
        <w:rPr>
          <w:sz w:val="16"/>
        </w:rPr>
        <w:t xml:space="preserve">, </w:t>
      </w:r>
      <w:hyperlink r:id="rId22">
        <w:r>
          <w:rPr>
            <w:color w:val="0000FF"/>
            <w:sz w:val="16"/>
          </w:rPr>
          <w:t xml:space="preserve">Rev. Sci. </w:t>
        </w:r>
      </w:hyperlink>
      <w:hyperlink r:id="rId23">
        <w:r>
          <w:rPr>
            <w:color w:val="0000FF"/>
            <w:sz w:val="16"/>
          </w:rPr>
          <w:t>Instrum.</w:t>
        </w:r>
      </w:hyperlink>
      <w:r>
        <w:rPr>
          <w:color w:val="0000FF"/>
          <w:sz w:val="16"/>
        </w:rPr>
        <w:t xml:space="preserve"> </w:t>
      </w:r>
      <w:r>
        <w:rPr>
          <w:b/>
          <w:sz w:val="16"/>
        </w:rPr>
        <w:t>78</w:t>
      </w:r>
      <w:r>
        <w:rPr>
          <w:sz w:val="16"/>
        </w:rPr>
        <w:t>, 033106 (2007).</w:t>
      </w:r>
    </w:p>
    <w:p w:rsidR="007B2AFF" w:rsidRDefault="000706D6">
      <w:pPr>
        <w:spacing w:after="21" w:line="259" w:lineRule="auto"/>
        <w:ind w:left="115" w:hanging="70"/>
      </w:pPr>
      <w:r>
        <w:rPr>
          <w:sz w:val="16"/>
          <w:vertAlign w:val="superscript"/>
        </w:rPr>
        <w:t>9</w:t>
      </w:r>
      <w:r>
        <w:rPr>
          <w:sz w:val="16"/>
        </w:rPr>
        <w:t xml:space="preserve">Y. </w:t>
      </w:r>
      <w:proofErr w:type="spellStart"/>
      <w:r>
        <w:rPr>
          <w:sz w:val="16"/>
        </w:rPr>
        <w:t>Acremann</w:t>
      </w:r>
      <w:proofErr w:type="spellEnd"/>
      <w:r>
        <w:rPr>
          <w:sz w:val="16"/>
        </w:rPr>
        <w:t xml:space="preserve">, V. </w:t>
      </w:r>
      <w:proofErr w:type="spellStart"/>
      <w:r>
        <w:rPr>
          <w:sz w:val="16"/>
        </w:rPr>
        <w:t>Chembrolu</w:t>
      </w:r>
      <w:proofErr w:type="spellEnd"/>
      <w:r>
        <w:rPr>
          <w:sz w:val="16"/>
        </w:rPr>
        <w:t xml:space="preserve">, J. P. Strachan, T. </w:t>
      </w:r>
      <w:proofErr w:type="spellStart"/>
      <w:r>
        <w:rPr>
          <w:sz w:val="16"/>
        </w:rPr>
        <w:t>Tyliszczak</w:t>
      </w:r>
      <w:proofErr w:type="spellEnd"/>
      <w:r>
        <w:rPr>
          <w:sz w:val="16"/>
        </w:rPr>
        <w:t xml:space="preserve">, and J. </w:t>
      </w:r>
      <w:proofErr w:type="spellStart"/>
      <w:r>
        <w:rPr>
          <w:sz w:val="16"/>
        </w:rPr>
        <w:t>Stohr</w:t>
      </w:r>
      <w:proofErr w:type="spellEnd"/>
      <w:r>
        <w:rPr>
          <w:sz w:val="16"/>
        </w:rPr>
        <w:t xml:space="preserve">, </w:t>
      </w:r>
      <w:hyperlink r:id="rId24">
        <w:r>
          <w:rPr>
            <w:color w:val="0000FF"/>
            <w:sz w:val="16"/>
          </w:rPr>
          <w:t>Rev. Sci. Instrum.</w:t>
        </w:r>
      </w:hyperlink>
      <w:r>
        <w:rPr>
          <w:color w:val="0000FF"/>
          <w:sz w:val="16"/>
        </w:rPr>
        <w:t xml:space="preserve"> </w:t>
      </w:r>
      <w:r>
        <w:rPr>
          <w:b/>
          <w:sz w:val="16"/>
        </w:rPr>
        <w:t>78</w:t>
      </w:r>
      <w:r>
        <w:rPr>
          <w:sz w:val="16"/>
        </w:rPr>
        <w:t>, 014702 (2007).</w:t>
      </w:r>
    </w:p>
    <w:p w:rsidR="007B2AFF" w:rsidRDefault="000706D6">
      <w:pPr>
        <w:spacing w:after="21" w:line="259" w:lineRule="auto"/>
        <w:ind w:left="55" w:hanging="10"/>
      </w:pPr>
      <w:r>
        <w:rPr>
          <w:sz w:val="16"/>
          <w:vertAlign w:val="superscript"/>
        </w:rPr>
        <w:t>10</w:t>
      </w:r>
      <w:r>
        <w:rPr>
          <w:sz w:val="16"/>
        </w:rPr>
        <w:t xml:space="preserve">D. </w:t>
      </w:r>
      <w:proofErr w:type="spellStart"/>
      <w:r>
        <w:rPr>
          <w:sz w:val="16"/>
        </w:rPr>
        <w:t>Dehlinger</w:t>
      </w:r>
      <w:proofErr w:type="spellEnd"/>
      <w:r>
        <w:rPr>
          <w:sz w:val="16"/>
        </w:rPr>
        <w:t xml:space="preserve"> and M. W. Mitchell, </w:t>
      </w:r>
      <w:hyperlink r:id="rId25">
        <w:r>
          <w:rPr>
            <w:color w:val="0000FF"/>
            <w:sz w:val="16"/>
          </w:rPr>
          <w:t>Am. J. Phys.</w:t>
        </w:r>
      </w:hyperlink>
      <w:r>
        <w:rPr>
          <w:color w:val="0000FF"/>
          <w:sz w:val="16"/>
        </w:rPr>
        <w:t xml:space="preserve"> </w:t>
      </w:r>
      <w:r>
        <w:rPr>
          <w:b/>
          <w:sz w:val="16"/>
        </w:rPr>
        <w:t>70</w:t>
      </w:r>
      <w:r>
        <w:rPr>
          <w:sz w:val="16"/>
        </w:rPr>
        <w:t>, 898 (2002).</w:t>
      </w:r>
    </w:p>
    <w:p w:rsidR="007B2AFF" w:rsidRDefault="000706D6">
      <w:pPr>
        <w:spacing w:after="21" w:line="259" w:lineRule="auto"/>
        <w:ind w:left="55" w:hanging="10"/>
      </w:pPr>
      <w:r>
        <w:rPr>
          <w:sz w:val="16"/>
          <w:vertAlign w:val="superscript"/>
        </w:rPr>
        <w:lastRenderedPageBreak/>
        <w:t>11</w:t>
      </w:r>
      <w:r>
        <w:rPr>
          <w:sz w:val="16"/>
        </w:rPr>
        <w:t xml:space="preserve">D. </w:t>
      </w:r>
      <w:proofErr w:type="spellStart"/>
      <w:r>
        <w:rPr>
          <w:sz w:val="16"/>
        </w:rPr>
        <w:t>Branning</w:t>
      </w:r>
      <w:proofErr w:type="spellEnd"/>
      <w:r>
        <w:rPr>
          <w:sz w:val="16"/>
        </w:rPr>
        <w:t xml:space="preserve">, S. Bhandari, and M. Beck, </w:t>
      </w:r>
      <w:hyperlink r:id="rId26">
        <w:r>
          <w:rPr>
            <w:color w:val="0000FF"/>
            <w:sz w:val="16"/>
          </w:rPr>
          <w:t>Am. J. Phys.</w:t>
        </w:r>
      </w:hyperlink>
      <w:r>
        <w:rPr>
          <w:color w:val="0000FF"/>
          <w:sz w:val="16"/>
        </w:rPr>
        <w:t xml:space="preserve"> </w:t>
      </w:r>
      <w:r>
        <w:rPr>
          <w:b/>
          <w:sz w:val="16"/>
        </w:rPr>
        <w:t>77</w:t>
      </w:r>
      <w:r>
        <w:rPr>
          <w:sz w:val="16"/>
        </w:rPr>
        <w:t>, 677 (2009).</w:t>
      </w:r>
    </w:p>
    <w:p w:rsidR="007B2AFF" w:rsidRDefault="000706D6">
      <w:pPr>
        <w:spacing w:after="87" w:line="259" w:lineRule="auto"/>
        <w:ind w:left="175" w:hanging="130"/>
      </w:pPr>
      <w:r>
        <w:rPr>
          <w:sz w:val="16"/>
          <w:vertAlign w:val="superscript"/>
        </w:rPr>
        <w:t>12</w:t>
      </w:r>
      <w:r>
        <w:rPr>
          <w:sz w:val="16"/>
        </w:rPr>
        <w:t xml:space="preserve">Resources for the construction and operation of this CCM, including an assembly guide, an operating manual, and data acquisition software (for </w:t>
      </w:r>
      <w:r>
        <w:rPr>
          <w:sz w:val="13"/>
        </w:rPr>
        <w:t xml:space="preserve">LABVIEW </w:t>
      </w:r>
      <w:r>
        <w:rPr>
          <w:sz w:val="16"/>
        </w:rPr>
        <w:t>or as a standalone executable), may be freely downloaded from our web site: www.trincoll.edu/</w:t>
      </w:r>
      <w:r>
        <w:rPr>
          <w:rFonts w:ascii="Calibri" w:eastAsia="Calibri" w:hAnsi="Calibri" w:cs="Calibri"/>
          <w:sz w:val="12"/>
        </w:rPr>
        <w:t>∼</w:t>
      </w:r>
      <w:proofErr w:type="spellStart"/>
      <w:r>
        <w:rPr>
          <w:sz w:val="16"/>
        </w:rPr>
        <w:t>dbrannin</w:t>
      </w:r>
      <w:proofErr w:type="spellEnd"/>
      <w:r>
        <w:rPr>
          <w:sz w:val="16"/>
        </w:rPr>
        <w:t>.</w:t>
      </w:r>
    </w:p>
    <w:p w:rsidR="007B2AFF" w:rsidRDefault="000706D6">
      <w:pPr>
        <w:spacing w:after="21" w:line="259" w:lineRule="auto"/>
        <w:ind w:left="175" w:hanging="130"/>
      </w:pPr>
      <w:r>
        <w:rPr>
          <w:sz w:val="16"/>
          <w:vertAlign w:val="superscript"/>
        </w:rPr>
        <w:t>13</w:t>
      </w:r>
      <w:r>
        <w:rPr>
          <w:sz w:val="25"/>
          <w:vertAlign w:val="subscript"/>
        </w:rPr>
        <w:t xml:space="preserve">See supplementary material at </w:t>
      </w:r>
      <w:hyperlink r:id="rId27">
        <w:r>
          <w:rPr>
            <w:color w:val="0000FF"/>
            <w:sz w:val="16"/>
          </w:rPr>
          <w:t>http://dx.doi.org/10.1063/1.3524571</w:t>
        </w:r>
      </w:hyperlink>
      <w:r>
        <w:rPr>
          <w:color w:val="0000FF"/>
          <w:sz w:val="16"/>
        </w:rPr>
        <w:t xml:space="preserve"> </w:t>
      </w:r>
      <w:r>
        <w:rPr>
          <w:sz w:val="16"/>
        </w:rPr>
        <w:t xml:space="preserve">for the complete </w:t>
      </w:r>
      <w:proofErr w:type="spellStart"/>
      <w:r>
        <w:rPr>
          <w:sz w:val="16"/>
        </w:rPr>
        <w:t>ciruit</w:t>
      </w:r>
      <w:proofErr w:type="spellEnd"/>
      <w:r>
        <w:rPr>
          <w:sz w:val="16"/>
        </w:rPr>
        <w:t xml:space="preserve"> diagram and photographs of the assembled CCM.</w:t>
      </w:r>
    </w:p>
    <w:p w:rsidR="007B2AFF" w:rsidRDefault="000706D6">
      <w:pPr>
        <w:spacing w:after="21" w:line="259" w:lineRule="auto"/>
        <w:ind w:left="55" w:hanging="10"/>
      </w:pPr>
      <w:r>
        <w:rPr>
          <w:sz w:val="16"/>
          <w:vertAlign w:val="superscript"/>
        </w:rPr>
        <w:t>14</w:t>
      </w:r>
      <w:r>
        <w:rPr>
          <w:sz w:val="16"/>
        </w:rPr>
        <w:t xml:space="preserve">C. </w:t>
      </w:r>
      <w:proofErr w:type="spellStart"/>
      <w:r>
        <w:rPr>
          <w:sz w:val="16"/>
        </w:rPr>
        <w:t>Eckart</w:t>
      </w:r>
      <w:proofErr w:type="spellEnd"/>
      <w:r>
        <w:rPr>
          <w:sz w:val="16"/>
        </w:rPr>
        <w:t xml:space="preserve"> and F. R. </w:t>
      </w:r>
      <w:proofErr w:type="spellStart"/>
      <w:r>
        <w:rPr>
          <w:sz w:val="16"/>
        </w:rPr>
        <w:t>Shonka</w:t>
      </w:r>
      <w:proofErr w:type="spellEnd"/>
      <w:r>
        <w:rPr>
          <w:sz w:val="16"/>
        </w:rPr>
        <w:t xml:space="preserve">, </w:t>
      </w:r>
      <w:hyperlink r:id="rId28">
        <w:r>
          <w:rPr>
            <w:color w:val="0000FF"/>
            <w:sz w:val="16"/>
          </w:rPr>
          <w:t>Phys. Rev.</w:t>
        </w:r>
      </w:hyperlink>
      <w:r>
        <w:rPr>
          <w:color w:val="0000FF"/>
          <w:sz w:val="16"/>
        </w:rPr>
        <w:t xml:space="preserve"> </w:t>
      </w:r>
      <w:r>
        <w:rPr>
          <w:b/>
          <w:sz w:val="16"/>
        </w:rPr>
        <w:t>53</w:t>
      </w:r>
      <w:r>
        <w:rPr>
          <w:sz w:val="16"/>
        </w:rPr>
        <w:t>, 752 (1938).</w:t>
      </w:r>
    </w:p>
    <w:sectPr w:rsidR="007B2AFF">
      <w:type w:val="continuous"/>
      <w:pgSz w:w="12240" w:h="15840"/>
      <w:pgMar w:top="1062" w:right="996" w:bottom="1440" w:left="1039" w:header="720" w:footer="720" w:gutter="0"/>
      <w:cols w:num="2" w:space="3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F16" w:rsidRDefault="00A04F16">
      <w:pPr>
        <w:spacing w:after="0" w:line="240" w:lineRule="auto"/>
      </w:pPr>
      <w:r>
        <w:separator/>
      </w:r>
    </w:p>
  </w:endnote>
  <w:endnote w:type="continuationSeparator" w:id="0">
    <w:p w:rsidR="00A04F16" w:rsidRDefault="00A0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AFF" w:rsidRDefault="000706D6">
    <w:pPr>
      <w:spacing w:after="0" w:line="259" w:lineRule="auto"/>
      <w:ind w:left="639" w:right="-794" w:firstLine="0"/>
      <w:jc w:val="center"/>
    </w:pPr>
    <w:r>
      <w:rPr>
        <w:rFonts w:ascii="Arial" w:eastAsia="Arial" w:hAnsi="Arial" w:cs="Arial"/>
        <w:b/>
        <w:color w:val="666666"/>
        <w:sz w:val="16"/>
      </w:rPr>
      <w:t>Author complimentary copy. Redistribution subject to AIP license or copyright, see http://rsi.aip.org/rsi/copyright.jsp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AFF" w:rsidRDefault="000706D6">
    <w:pPr>
      <w:spacing w:after="0" w:line="259" w:lineRule="auto"/>
      <w:ind w:left="639" w:right="-794" w:firstLine="0"/>
      <w:jc w:val="center"/>
    </w:pPr>
    <w:r>
      <w:rPr>
        <w:rFonts w:ascii="Arial" w:eastAsia="Arial" w:hAnsi="Arial" w:cs="Arial"/>
        <w:b/>
        <w:color w:val="666666"/>
        <w:sz w:val="16"/>
      </w:rPr>
      <w:t>Author complimentary copy. Redistribution subject to AIP license or copyright, see http://rsi.aip.org/rsi/copyright.jsp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AFF" w:rsidRDefault="000706D6">
    <w:pPr>
      <w:spacing w:after="0" w:line="259" w:lineRule="auto"/>
      <w:ind w:left="639" w:right="-794" w:firstLine="0"/>
      <w:jc w:val="center"/>
    </w:pPr>
    <w:r>
      <w:rPr>
        <w:rFonts w:ascii="Arial" w:eastAsia="Arial" w:hAnsi="Arial" w:cs="Arial"/>
        <w:b/>
        <w:color w:val="666666"/>
        <w:sz w:val="16"/>
      </w:rPr>
      <w:t>Author complimentary copy. Redistribution subject to AIP license or copyright, see http://rsi.aip.org/rsi/copyright.jsp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F16" w:rsidRDefault="00A04F16">
      <w:pPr>
        <w:spacing w:after="0" w:line="240" w:lineRule="auto"/>
      </w:pPr>
      <w:r>
        <w:separator/>
      </w:r>
    </w:p>
  </w:footnote>
  <w:footnote w:type="continuationSeparator" w:id="0">
    <w:p w:rsidR="00A04F16" w:rsidRDefault="00A04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FF"/>
    <w:rsid w:val="000706D6"/>
    <w:rsid w:val="001F7124"/>
    <w:rsid w:val="00407008"/>
    <w:rsid w:val="00434BD3"/>
    <w:rsid w:val="007B2AFF"/>
    <w:rsid w:val="007E783B"/>
    <w:rsid w:val="00A04F16"/>
    <w:rsid w:val="00C81D50"/>
    <w:rsid w:val="00E77A6F"/>
    <w:rsid w:val="00F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5C90"/>
  <w15:docId w15:val="{EE4F42BC-00F1-4316-A00C-548C3F62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0" w:lineRule="auto"/>
      <w:ind w:left="717" w:firstLine="365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63/1.352457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dx.doi.org/10.1103/RevModPhys.79.135" TargetMode="External"/><Relationship Id="rId26" Type="http://schemas.openxmlformats.org/officeDocument/2006/relationships/hyperlink" Target="http://dx.doi.org/10.1119/1.311680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x.doi.org/10.1063/1.1946088" TargetMode="External"/><Relationship Id="rId7" Type="http://schemas.openxmlformats.org/officeDocument/2006/relationships/hyperlink" Target="http://dx.doi.org/10.1063/1.3524571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dx.doi.org/10.1103/RevModPhys.79.135" TargetMode="External"/><Relationship Id="rId25" Type="http://schemas.openxmlformats.org/officeDocument/2006/relationships/hyperlink" Target="http://dx.doi.org/10.1119/1.149885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x.doi.org/10.1016/S0079-6638(03)46004-6" TargetMode="External"/><Relationship Id="rId20" Type="http://schemas.openxmlformats.org/officeDocument/2006/relationships/hyperlink" Target="http://dx.doi.org/10.1063/1.2149007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x.doi.org/10.1063/1.3524571" TargetMode="External"/><Relationship Id="rId11" Type="http://schemas.openxmlformats.org/officeDocument/2006/relationships/footer" Target="footer3.xml"/><Relationship Id="rId24" Type="http://schemas.openxmlformats.org/officeDocument/2006/relationships/hyperlink" Target="http://dx.doi.org/10.1063/1.2428274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http://dx.doi.org/10.1063/1.2715948" TargetMode="External"/><Relationship Id="rId28" Type="http://schemas.openxmlformats.org/officeDocument/2006/relationships/hyperlink" Target="http://dx.doi.org/10.1103/PhysRev.53.752" TargetMode="External"/><Relationship Id="rId10" Type="http://schemas.openxmlformats.org/officeDocument/2006/relationships/footer" Target="footer2.xml"/><Relationship Id="rId19" Type="http://schemas.openxmlformats.org/officeDocument/2006/relationships/hyperlink" Target="http://dx.doi.org/10.1103/RevModPhys.81.1301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://dx.doi.org/10.1063/1.2715948" TargetMode="External"/><Relationship Id="rId27" Type="http://schemas.openxmlformats.org/officeDocument/2006/relationships/hyperlink" Target="http://dx.doi.org/10.1063/1.352457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1133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宾光祥</dc:creator>
  <cp:keywords/>
  <cp:lastModifiedBy>宾光祥</cp:lastModifiedBy>
  <cp:revision>7</cp:revision>
  <dcterms:created xsi:type="dcterms:W3CDTF">2018-01-04T07:03:00Z</dcterms:created>
  <dcterms:modified xsi:type="dcterms:W3CDTF">2018-01-11T08:30:00Z</dcterms:modified>
</cp:coreProperties>
</file>