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FundExecs Technologies — Data Room Index</w:t>
      </w:r>
    </w:p>
    <w:p>
      <w:r>
        <w:rPr>
          <w:b/>
          <w:i w:val="0"/>
        </w:rPr>
        <w:t>Company:</w:t>
      </w:r>
      <w:r>
        <w:rPr>
          <w:b w:val="0"/>
          <w:i w:val="0"/>
        </w:rPr>
        <w:t xml:space="preserve"> FundExecs Technologies</w:t>
      </w:r>
    </w:p>
    <w:p>
      <w:r>
        <w:rPr>
          <w:b/>
          <w:i w:val="0"/>
        </w:rPr>
        <w:t>Product:</w:t>
      </w:r>
      <w:r>
        <w:rPr>
          <w:b w:val="0"/>
          <w:i w:val="0"/>
        </w:rPr>
        <w:t xml:space="preserve"> FundExecs OS — the AI-native operating system for private-market operators</w:t>
      </w:r>
    </w:p>
    <w:p>
      <w:r>
        <w:rPr>
          <w:b/>
          <w:i w:val="0"/>
        </w:rPr>
        <w:t>Version:</w:t>
      </w:r>
      <w:r>
        <w:rPr>
          <w:b w:val="0"/>
          <w:i w:val="0"/>
        </w:rPr>
        <w:t xml:space="preserve"> 1.0 · July 2026</w:t>
      </w:r>
    </w:p>
    <w:p>
      <w:r>
        <w:rPr>
          <w:b/>
          <w:i w:val="0"/>
        </w:rPr>
        <w:t>Prepared for:</w:t>
      </w:r>
      <w:r>
        <w:rPr>
          <w:b w:val="0"/>
          <w:i w:val="0"/>
        </w:rPr>
        <w:t xml:space="preserve"> Prospective investors and strategic partners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Confidential — do not distribute without written consent</w:t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Document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File</w:t>
            </w:r>
          </w:p>
        </w:tc>
        <w:tc>
          <w:tcPr>
            <w:tcW w:type="dxa" w:w="2412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Executive Summary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01-executive-summary.md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Two-page overview of the company, product, market, and ask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FundExecs Technologies Pitch Deck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02-pitch-deck.md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Slide-by-slide investor narrative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FundExecs OS Product Vision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03-product-vision.md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 we are building and why it wins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Product Roadmap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04-product-roadmap.md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What is shipped, in flight, and planned through GA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Platform Architecture Map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05-platform-architecture-map.md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Hubs, agents, graphs, task engine, data model, security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 Executive Team / Earn Agent Spec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06-ai-executive-team-earn-agent-spec.md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fifteen-agent executive team and the Earn orchestrator specification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Business Model Canvas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07-business-model-canvas.md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business on one page (nine-block canvas)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5-Year Financial Model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08-five-year-financial-model.md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Assumptions, revenue build, P&amp;L summary, headcount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Use of Funds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09-use-of-funds.md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 size, allocation, runway, and milestones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Market Opportunity Memo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10-market-opportunity-memo.md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TAM / SAM / SOM and structural tailwinds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Competitive Landscape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11-competitive-landscape.md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Incumbents, adjacents, and our positioning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GTM Strategy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12-gtm-strategy.md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Wedge, channels, sales motion, and pricing strategy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Risk &amp; Compliance Memo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13-risk-compliance-memo.md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Regulatory posture, data security, AI governance, key risks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BGI / Fund I / FundExecs Technologies Relationship Memo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i w:val="0"/>
                <w:sz w:val="18"/>
              </w:rPr>
              <w:t>14-bgi-fund-i-relationship-memo.md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Entity structure, IP ownership, related-party governance</w:t>
            </w:r>
          </w:p>
        </w:tc>
      </w:tr>
    </w:tbl>
    <w:p/>
    <w:p>
      <w:pPr>
        <w:pStyle w:val="Heading1"/>
      </w:pPr>
      <w:r>
        <w:t>How to read this data room</w:t>
      </w:r>
    </w:p>
    <w:p>
      <w:pPr>
        <w:pStyle w:val="ListNumber"/>
      </w:pPr>
      <w:r>
        <w:rPr>
          <w:b/>
          <w:i w:val="0"/>
        </w:rPr>
        <w:t>Start with 01 (Executive Summary)</w:t>
      </w:r>
      <w:r>
        <w:rPr>
          <w:b w:val="0"/>
          <w:i w:val="0"/>
        </w:rPr>
        <w:t xml:space="preserve"> for the thesis in two pages, then </w:t>
      </w:r>
      <w:r>
        <w:rPr>
          <w:b/>
          <w:i w:val="0"/>
        </w:rPr>
        <w:t>02 (Pitch Deck)</w:t>
      </w:r>
      <w:r>
        <w:rPr>
          <w:b w:val="0"/>
          <w:i w:val="0"/>
        </w:rPr>
        <w:t xml:space="preserve"> for the full narrative.</w:t>
      </w:r>
    </w:p>
    <w:p>
      <w:pPr>
        <w:pStyle w:val="ListNumber"/>
      </w:pPr>
      <w:r>
        <w:rPr>
          <w:b/>
          <w:i w:val="0"/>
        </w:rPr>
        <w:t>Product diligence:</w:t>
      </w:r>
      <w:r>
        <w:rPr>
          <w:b w:val="0"/>
          <w:i w:val="0"/>
        </w:rPr>
        <w:t xml:space="preserve"> 03 → 04 → 05 → 06. The architecture map (05) and agent spec (06) are written directly from the working codebase, not from aspiration.</w:t>
      </w:r>
    </w:p>
    <w:p>
      <w:pPr>
        <w:pStyle w:val="ListNumber"/>
      </w:pPr>
      <w:r>
        <w:rPr>
          <w:b/>
          <w:i w:val="0"/>
        </w:rPr>
        <w:t>Commercial diligence:</w:t>
      </w:r>
      <w:r>
        <w:rPr>
          <w:b w:val="0"/>
          <w:i w:val="0"/>
        </w:rPr>
        <w:t xml:space="preserve"> 07 → 10 → 11 → 12.</w:t>
      </w:r>
    </w:p>
    <w:p>
      <w:pPr>
        <w:pStyle w:val="ListNumber"/>
      </w:pPr>
      <w:r>
        <w:rPr>
          <w:b/>
          <w:i w:val="0"/>
        </w:rPr>
        <w:t>Financial diligence:</w:t>
      </w:r>
      <w:r>
        <w:rPr>
          <w:b w:val="0"/>
          <w:i w:val="0"/>
        </w:rPr>
        <w:t xml:space="preserve"> 08 → 09.</w:t>
      </w:r>
    </w:p>
    <w:p>
      <w:pPr>
        <w:pStyle w:val="ListNumber"/>
      </w:pPr>
      <w:r>
        <w:rPr>
          <w:b/>
          <w:i w:val="0"/>
        </w:rPr>
        <w:t>Legal / structural diligence:</w:t>
      </w:r>
      <w:r>
        <w:rPr>
          <w:b w:val="0"/>
          <w:i w:val="0"/>
        </w:rPr>
        <w:t xml:space="preserve"> 13 → 14. If you are evaluating the relationship between Bey Group International (BGI), BGI Fund I, and FundExecs Technologies, read 14 first.</w:t>
      </w:r>
    </w:p>
    <w:p>
      <w:pPr>
        <w:pStyle w:val="Heading1"/>
      </w:pPr>
      <w:r>
        <w:t>Notes and disclaimers</w:t>
      </w:r>
    </w:p>
    <w:p>
      <w:pPr>
        <w:pStyle w:val="ListBullet"/>
      </w:pPr>
      <w:r>
        <w:rPr>
          <w:b/>
          <w:i w:val="0"/>
        </w:rPr>
        <w:t>Forward-looking statements.</w:t>
      </w:r>
      <w:r>
        <w:rPr>
          <w:b w:val="0"/>
          <w:i w:val="0"/>
        </w:rPr>
        <w:t xml:space="preserve"> Documents 08, 09, 10, and 12 contain projections and estimates. They are illustrative planning models based on stated assumptions, not guarantees of performance. Actual results will differ.</w:t>
      </w:r>
    </w:p>
    <w:p>
      <w:pPr>
        <w:pStyle w:val="ListBullet"/>
      </w:pPr>
      <w:r>
        <w:rPr>
          <w:b/>
          <w:i w:val="0"/>
        </w:rPr>
        <w:t>Product status.</w:t>
      </w:r>
      <w:r>
        <w:rPr>
          <w:b w:val="0"/>
          <w:i w:val="0"/>
        </w:rPr>
        <w:t xml:space="preserve"> FundExecs OS is in alpha. Sections describing shipped functionality reflect the state of the codebase as of July 2026; sections describing roadmap items are plans, not commitments.</w:t>
      </w:r>
    </w:p>
    <w:p>
      <w:pPr>
        <w:pStyle w:val="ListBullet"/>
      </w:pPr>
      <w:r>
        <w:rPr>
          <w:b/>
          <w:i w:val="0"/>
        </w:rPr>
        <w:t>No offer.</w:t>
      </w:r>
      <w:r>
        <w:rPr>
          <w:b w:val="0"/>
          <w:i w:val="0"/>
        </w:rPr>
        <w:t xml:space="preserve"> Nothing in this data room constitutes an offer to sell securities. Any investment would be made only through definitive legal documentation, subject to investor qualification and securities counsel review.</w:t>
      </w:r>
    </w:p>
    <w:p>
      <w:pPr>
        <w:pStyle w:val="ListBullet"/>
      </w:pPr>
      <w:r>
        <w:rPr>
          <w:b/>
          <w:i w:val="0"/>
        </w:rPr>
        <w:t>Separate entities.</w:t>
      </w:r>
      <w:r>
        <w:rPr>
          <w:b w:val="0"/>
          <w:i w:val="0"/>
        </w:rPr>
        <w:t xml:space="preserve"> FundExecs Technologies (the software company) is distinct from Bey Group International and BGI Fund I. The BGI Founding Capital Circle is a separate instrument relating to the BGI platform, not equity in FundExecs Technologies. See document 14.</w:t>
      </w:r>
    </w:p>
    <w:p>
      <w:r>
        <w:rPr>
          <w:b w:val="0"/>
          <w:i/>
        </w:rPr>
        <w:t>Contact: Sheik Astin Simmons-Bey, Founder — sheikastinsimmonsbey@gmail.com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