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</w:t>
      </w:r>
    </w:p>
    <w:p>
      <w:r>
        <w:rPr>
          <w:b/>
          <w:i w:val="0"/>
        </w:rPr>
        <w:t>FundExecs Technologies · FundExecs OS</w:t>
      </w:r>
    </w:p>
    <w:p>
      <w:r>
        <w:rPr>
          <w:b w:val="0"/>
          <w:i/>
        </w:rPr>
        <w:t>Confidential · July 2026</w:t>
      </w:r>
    </w:p>
    <w:p>
      <w:pPr>
        <w:pStyle w:val="Heading1"/>
      </w:pPr>
      <w:r>
        <w:t>The one-liner</w:t>
      </w:r>
    </w:p>
    <w:p>
      <w:r>
        <w:rPr>
          <w:b w:val="0"/>
          <w:i w:val="0"/>
        </w:rPr>
        <w:t xml:space="preserve">FundExecs OS is the </w:t>
      </w:r>
      <w:r>
        <w:rPr>
          <w:b/>
          <w:i w:val="0"/>
        </w:rPr>
        <w:t>AI-native operating system for private-market operators</w:t>
      </w:r>
      <w:r>
        <w:rPr>
          <w:b w:val="0"/>
          <w:i w:val="0"/>
        </w:rPr>
        <w:t xml:space="preserve"> — PE funds, real estate investors, and family offices — unifying relationships, deals, and capital into a single intelligence layer, with an executive team of </w:t>
      </w:r>
      <w:r>
        <w:rPr>
          <w:b/>
          <w:i w:val="0"/>
        </w:rPr>
        <w:t>fifteen AI agents that own the work end-to-end</w:t>
      </w:r>
      <w:r>
        <w:rPr>
          <w:b w:val="0"/>
          <w:i w:val="0"/>
        </w:rPr>
        <w:t>, gated by operator approval.</w:t>
      </w:r>
    </w:p>
    <w:p>
      <w:pPr>
        <w:pStyle w:val="Heading1"/>
      </w:pPr>
      <w:r>
        <w:t>The problem</w:t>
      </w:r>
    </w:p>
    <w:p>
      <w:r>
        <w:rPr>
          <w:b w:val="0"/>
          <w:i w:val="0"/>
        </w:rPr>
        <w:t>Private markets run on information movement, not decisions. A typical GP stack is 30+ disconnected point solutions: DealCloud for pipeline, Carta for cap tables, Affinity for relationships, Excel for underwriting, Notion for notes, Slack for follow-ups. None of them talk to each other, and none of them get smarter over time.</w:t>
      </w:r>
    </w:p>
    <w:p>
      <w:r>
        <w:rPr>
          <w:b w:val="0"/>
          <w:i w:val="0"/>
        </w:rPr>
        <w:t xml:space="preserve">The founder ran advisory for PE funds and family offices for 4+ years and spent </w:t>
      </w:r>
      <w:r>
        <w:rPr>
          <w:b/>
          <w:i w:val="0"/>
        </w:rPr>
        <w:t>three hours every day</w:t>
      </w:r>
      <w:r>
        <w:rPr>
          <w:b w:val="0"/>
          <w:i w:val="0"/>
        </w:rPr>
        <w:t xml:space="preserve"> sourcing deals that turned out to be smoke and mirrors. Operators spend roughly </w:t>
      </w:r>
      <w:r>
        <w:rPr>
          <w:b/>
          <w:i w:val="0"/>
        </w:rPr>
        <w:t>80% of their time moving information</w:t>
      </w:r>
      <w:r>
        <w:rPr>
          <w:b w:val="0"/>
          <w:i w:val="0"/>
        </w:rPr>
        <w:t xml:space="preserve"> and 20% making the decisions that actually create value.</w:t>
      </w:r>
    </w:p>
    <w:p>
      <w:pPr>
        <w:pStyle w:val="Heading1"/>
      </w:pPr>
      <w:r>
        <w:t>The product</w:t>
      </w:r>
    </w:p>
    <w:p>
      <w:r>
        <w:rPr>
          <w:b w:val="0"/>
          <w:i w:val="0"/>
        </w:rPr>
        <w:t>FundExecs OS replaces the point-solution stack with one system of record built around three primitives:</w:t>
      </w:r>
    </w:p>
    <w:p>
      <w:pPr>
        <w:pStyle w:val="ListNumber"/>
      </w:pPr>
      <w:r>
        <w:rPr>
          <w:b/>
          <w:i w:val="0"/>
        </w:rPr>
        <w:t>Four operational hubs</w:t>
      </w:r>
      <w:r>
        <w:rPr>
          <w:b w:val="0"/>
          <w:i w:val="0"/>
        </w:rPr>
        <w:t xml:space="preserve"> — Build (identity, thesis, brand), Source (LP pipeline, deal pipeline, capital partners), Run (diligence, underwriting, stress testing), Execute (closing, capital events, asset management, reporting).</w:t>
      </w:r>
    </w:p>
    <w:p>
      <w:pPr>
        <w:pStyle w:val="ListNumber"/>
      </w:pPr>
      <w:r>
        <w:rPr>
          <w:b/>
          <w:i w:val="0"/>
        </w:rPr>
        <w:t>Fifteen AI agents</w:t>
      </w:r>
      <w:r>
        <w:rPr>
          <w:b w:val="0"/>
          <w:i w:val="0"/>
        </w:rPr>
        <w:t xml:space="preserve"> organized as an executive team — Analyst, Diligence, Investor Relations, Fund Admin, Capital Raiser, Deal Sourcer, Rainmaker, and more — coordinated by </w:t>
      </w:r>
      <w:r>
        <w:rPr>
          <w:b/>
          <w:i w:val="0"/>
        </w:rPr>
        <w:t>Earn</w:t>
      </w:r>
      <w:r>
        <w:rPr>
          <w:b w:val="0"/>
          <w:i w:val="0"/>
        </w:rPr>
        <w:t>, the orchestration agent. An operator states an objective in plain language; Earn plans it into ordered agent steps; each step produces a durable, typed deliverable (IC memo, pro forma, risk report, LP update).</w:t>
      </w:r>
    </w:p>
    <w:p>
      <w:pPr>
        <w:pStyle w:val="ListNumber"/>
      </w:pPr>
      <w:r>
        <w:rPr>
          <w:b/>
          <w:i w:val="0"/>
        </w:rPr>
        <w:t>Three native data graphs</w:t>
      </w:r>
      <w:r>
        <w:rPr>
          <w:b w:val="0"/>
          <w:i w:val="0"/>
        </w:rPr>
        <w:t xml:space="preserve"> — Relationship, Deal, and Capital — so every piece of work compounds into institutional memory instead of dying in a document.</w:t>
      </w:r>
    </w:p>
    <w:p>
      <w:r>
        <w:rPr>
          <w:b w:val="0"/>
          <w:i w:val="0"/>
        </w:rPr>
        <w:t xml:space="preserve">The critical design decision: </w:t>
      </w:r>
      <w:r>
        <w:rPr>
          <w:b/>
          <w:i w:val="0"/>
        </w:rPr>
        <w:t>nothing reaches a counterparty without operator sign-off.</w:t>
      </w:r>
      <w:r>
        <w:rPr>
          <w:b w:val="0"/>
          <w:i w:val="0"/>
        </w:rPr>
        <w:t xml:space="preserve"> Every workflow runs through a prompt → plan → approve → execute loop, with opt-in autonomy for trusted automations. Trust and auditability are the product, not features.</w:t>
      </w:r>
    </w:p>
    <w:p>
      <w:pPr>
        <w:pStyle w:val="Heading1"/>
      </w:pPr>
      <w:r>
        <w:t>Why now</w:t>
      </w:r>
    </w:p>
    <w:p>
      <w:pPr>
        <w:pStyle w:val="ListBullet"/>
      </w:pPr>
      <w:r>
        <w:rPr>
          <w:b/>
          <w:i w:val="0"/>
        </w:rPr>
        <w:t>Agentic AI just became real.</w:t>
      </w:r>
      <w:r>
        <w:rPr>
          <w:b w:val="0"/>
          <w:i w:val="0"/>
        </w:rPr>
        <w:t xml:space="preserve"> Frontier models can now execute multi-step professional workflows, not just draft text. The window to build the vertical agent platform for private markets is open — and closing.</w:t>
      </w:r>
    </w:p>
    <w:p>
      <w:pPr>
        <w:pStyle w:val="ListBullet"/>
      </w:pPr>
      <w:r>
        <w:rPr>
          <w:b/>
          <w:i w:val="0"/>
        </w:rPr>
        <w:t>Private markets are still pre-software.</w:t>
      </w:r>
      <w:r>
        <w:rPr>
          <w:b w:val="0"/>
          <w:i w:val="0"/>
        </w:rPr>
        <w:t xml:space="preserve"> ~$15T of AUM is administered on email, Excel, and a fragmented tool stack built before AI.</w:t>
      </w:r>
    </w:p>
    <w:p>
      <w:pPr>
        <w:pStyle w:val="ListBullet"/>
      </w:pPr>
      <w:r>
        <w:rPr>
          <w:b/>
          <w:i w:val="0"/>
        </w:rPr>
        <w:t>Incumbents can't get there.</w:t>
      </w:r>
      <w:r>
        <w:rPr>
          <w:b w:val="0"/>
          <w:i w:val="0"/>
        </w:rPr>
        <w:t xml:space="preserve"> DealCloud, Carta, and Juniper Square are systems of record with AI bolted on. An agent-native OS requires an event-driven task engine, provenance, and approval gates at the core — a rebuild, not a feature.</w:t>
      </w:r>
    </w:p>
    <w:p>
      <w:pPr>
        <w:pStyle w:val="Heading1"/>
      </w:pPr>
      <w:r>
        <w:t>Traction and state of build</w:t>
      </w:r>
    </w:p>
    <w:p>
      <w:r>
        <w:rPr>
          <w:b w:val="0"/>
          <w:i w:val="0"/>
        </w:rPr>
        <w:t>The platform is real, working code — not a deck:</w:t>
      </w:r>
    </w:p>
    <w:p>
      <w:pPr>
        <w:pStyle w:val="ListBullet"/>
      </w:pPr>
      <w:r>
        <w:rPr>
          <w:b w:val="0"/>
          <w:i w:val="0"/>
        </w:rPr>
        <w:t>Full Postgres/Supabase schema (</w:t>
      </w:r>
      <w:r>
        <w:rPr>
          <w:b/>
          <w:i w:val="0"/>
        </w:rPr>
        <w:t>66+ versioned migrations</w:t>
      </w:r>
      <w:r>
        <w:rPr>
          <w:b w:val="0"/>
          <w:i w:val="0"/>
        </w:rPr>
        <w:t>, row-level security on every table, org-scoped multi-tenancy)</w:t>
      </w:r>
    </w:p>
    <w:p>
      <w:pPr>
        <w:pStyle w:val="ListBullet"/>
      </w:pPr>
      <w:r>
        <w:rPr>
          <w:b w:val="0"/>
          <w:i w:val="0"/>
        </w:rPr>
        <w:t>The complete agent loop live: prompt → Claude-powered multi-step plan → approval → execution → durable artifacts → records seeded into the system of record</w:t>
      </w:r>
    </w:p>
    <w:p>
      <w:pPr>
        <w:pStyle w:val="ListBullet"/>
      </w:pPr>
      <w:r>
        <w:rPr>
          <w:b w:val="0"/>
          <w:i w:val="0"/>
        </w:rPr>
        <w:t>Fifteen-agent catalog with per-agent knowledge bases ("Brains"), operator-feedback learning, and scheduled Automations that run unattended when trusted</w:t>
      </w:r>
    </w:p>
    <w:p>
      <w:pPr>
        <w:pStyle w:val="ListBullet"/>
      </w:pPr>
      <w:r>
        <w:rPr>
          <w:b w:val="0"/>
          <w:i w:val="0"/>
        </w:rPr>
        <w:t>Capital Map (relationship temperature + warm-intro pathfinding), Unified Inbox, data room, investor portal, valuations, tokenized access/reputation ledger design, and live billing (Starter / Pro / Scale plans + credit packs)</w:t>
      </w:r>
    </w:p>
    <w:p>
      <w:pPr>
        <w:pStyle w:val="ListBullet"/>
      </w:pPr>
      <w:r>
        <w:rPr>
          <w:b/>
          <w:i w:val="0"/>
        </w:rPr>
        <w:t>Design partner in-house:</w:t>
      </w:r>
      <w:r>
        <w:rPr>
          <w:b w:val="0"/>
          <w:i w:val="0"/>
        </w:rPr>
        <w:t xml:space="preserve"> BGI Fund I — a $100M control-oriented lower-middle-market PE platform — runs its capital formation on FundExecs OS, giving the product a live, demanding first customer from day one (see document 14 for governance of this relationship).</w:t>
      </w:r>
    </w:p>
    <w:p>
      <w:pPr>
        <w:pStyle w:val="Heading1"/>
      </w:pPr>
      <w:r>
        <w:t>Business model</w:t>
      </w:r>
    </w:p>
    <w:p>
      <w:r>
        <w:rPr>
          <w:b w:val="0"/>
          <w:i w:val="0"/>
        </w:rPr>
        <w:t>Vertical SaaS + usage: per-seat subscription plans with metered agent-execution credits. Early-access pricing is live in-product today ($5–$100/mo tiers); institutional repricing follows the value delivered (see documents 07 and 08). Expansion layers: marketplace, data/API grants, and a compounding access/reputation/attestation layer already specified.</w:t>
      </w:r>
    </w:p>
    <w:p>
      <w:pPr>
        <w:pStyle w:val="Heading1"/>
      </w:pPr>
      <w:r>
        <w:t>The ask</w:t>
      </w:r>
    </w:p>
    <w:p>
      <w:r>
        <w:rPr>
          <w:b w:val="0"/>
          <w:i w:val="0"/>
        </w:rPr>
        <w:t xml:space="preserve">FundExecs Technologies is raising a </w:t>
      </w:r>
      <w:r>
        <w:rPr>
          <w:b/>
          <w:i w:val="0"/>
        </w:rPr>
        <w:t>$2.5M seed round</w:t>
      </w:r>
      <w:r>
        <w:rPr>
          <w:b w:val="0"/>
          <w:i w:val="0"/>
        </w:rPr>
        <w:t xml:space="preserve"> for 21–24 months of runway: to ship the remaining hub modules and graph layer, convert design partners into paying reference customers, and reach ~$1M ARR run-rate. Full allocation and milestones in document 09.</w:t>
      </w:r>
    </w:p>
    <w:p>
      <w:r>
        <w:rPr>
          <w:b w:val="0"/>
          <w:i/>
        </w:rPr>
        <w:t>This summary contains forward-looking statements and illustrative figures. See the disclaimers in the Data Room Index (document 00).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120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120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12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31C1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