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FundExecs OS — Product Roadmap</w:t>
      </w:r>
    </w:p>
    <w:p>
      <w:r>
        <w:rPr>
          <w:b w:val="0"/>
          <w:i/>
        </w:rPr>
        <w:t>Confidential · July 2026</w:t>
      </w:r>
    </w:p>
    <w:p>
      <w:pPr>
        <w:pStyle w:val="IntenseQuote"/>
      </w:pPr>
      <w:r>
        <w:rPr>
          <w:b w:val="0"/>
          <w:i w:val="0"/>
        </w:rPr>
        <w:t>Status legend: ✅ shipped (in the codebase today) · 🔧 in flight · ⏳ planned. Dates for future phases are targets, not commitments; sequencing follows the platform's build-order discipline (data model → API → agent logic → events → frontend).</w:t>
      </w:r>
    </w:p>
    <w:p>
      <w:pPr>
        <w:pStyle w:val="Heading1"/>
      </w:pPr>
      <w:r>
        <w:t>1. Where the product is today (Alpha, July 2026)</w:t>
      </w:r>
    </w:p>
    <w:p>
      <w:pPr>
        <w:pStyle w:val="Heading2"/>
      </w:pPr>
      <w:r>
        <w:t>Shipped ✅</w:t>
      </w:r>
    </w:p>
    <w:p>
      <w:r>
        <w:rPr>
          <w:b/>
          <w:i w:val="0"/>
        </w:rPr>
        <w:t>Platform core</w:t>
      </w:r>
    </w:p>
    <w:p>
      <w:pPr>
        <w:pStyle w:val="ListBullet"/>
      </w:pPr>
      <w:r>
        <w:rPr>
          <w:b w:val="0"/>
          <w:i w:val="0"/>
        </w:rPr>
        <w:t xml:space="preserve">Next.js + TypeScript single-app scaffold; Postgres/Supabase schema as </w:t>
      </w:r>
      <w:r>
        <w:rPr>
          <w:b/>
          <w:i w:val="0"/>
        </w:rPr>
        <w:t>66+ versioned migrations</w:t>
      </w:r>
      <w:r>
        <w:rPr>
          <w:b w:val="0"/>
          <w:i w:val="0"/>
        </w:rPr>
        <w:t>; row-level security on every table; org-membership multi-tenancy</w:t>
      </w:r>
    </w:p>
    <w:p>
      <w:pPr>
        <w:pStyle w:val="ListBullet"/>
      </w:pPr>
      <w:r>
        <w:rPr>
          <w:b w:val="0"/>
          <w:i w:val="0"/>
        </w:rPr>
        <w:t xml:space="preserve">The sacred loop end-to-end: </w:t>
      </w:r>
      <w:r>
        <w:rPr>
          <w:rFonts w:ascii="Consolas" w:hAnsi="Consolas"/>
          <w:b w:val="0"/>
          <w:i w:val="0"/>
          <w:sz w:val="19"/>
        </w:rPr>
        <w:t>/api/prompt → plan → /api/approve → execute → /api/report</w:t>
      </w:r>
      <w:r>
        <w:rPr>
          <w:b w:val="0"/>
          <w:i w:val="0"/>
        </w:rPr>
        <w:t xml:space="preserve">, Realtime event stream over </w:t>
      </w:r>
      <w:r>
        <w:rPr>
          <w:rFonts w:ascii="Consolas" w:hAnsi="Consolas"/>
          <w:b w:val="0"/>
          <w:i w:val="0"/>
          <w:sz w:val="19"/>
        </w:rPr>
        <w:t>task_events</w:t>
      </w:r>
    </w:p>
    <w:p>
      <w:pPr>
        <w:pStyle w:val="ListBullet"/>
      </w:pPr>
      <w:r>
        <w:rPr>
          <w:b w:val="0"/>
          <w:i w:val="0"/>
        </w:rPr>
        <w:t>Live Claude-powered multi-step planning and per-step execution (structured outputs; deterministic fallback when no API key) — cost-tiered model routing (Haiku default, overridable)</w:t>
      </w:r>
    </w:p>
    <w:p>
      <w:r>
        <w:rPr>
          <w:b/>
          <w:i w:val="0"/>
        </w:rPr>
        <w:t>Agent layer</w:t>
      </w:r>
    </w:p>
    <w:p>
      <w:pPr>
        <w:pStyle w:val="ListBullet"/>
      </w:pPr>
      <w:r>
        <w:rPr>
          <w:b w:val="0"/>
          <w:i w:val="0"/>
        </w:rPr>
        <w:t>Fifteen-agent catalog across the four hubs, orchestrated by Earn</w:t>
      </w:r>
    </w:p>
    <w:p>
      <w:pPr>
        <w:pStyle w:val="ListBullet"/>
      </w:pPr>
      <w:r>
        <w:rPr>
          <w:b w:val="0"/>
          <w:i w:val="0"/>
        </w:rPr>
        <w:t>Per-agent knowledge bases ("Brains") powering domain behavior</w:t>
      </w:r>
    </w:p>
    <w:p>
      <w:pPr>
        <w:pStyle w:val="ListBullet"/>
      </w:pPr>
      <w:r>
        <w:rPr>
          <w:b w:val="0"/>
          <w:i w:val="0"/>
        </w:rPr>
        <w:t>Operator-feedback learning ledger (accept/reject signals with fit scores; learned digest injected into future runs)</w:t>
      </w:r>
    </w:p>
    <w:p>
      <w:pPr>
        <w:pStyle w:val="ListBullet"/>
      </w:pPr>
      <w:r>
        <w:rPr>
          <w:b/>
          <w:i w:val="0"/>
        </w:rPr>
        <w:t>Automations</w:t>
      </w:r>
      <w:r>
        <w:rPr>
          <w:b w:val="0"/>
          <w:i w:val="0"/>
        </w:rPr>
        <w:t xml:space="preserve"> — saved natural-language instructions + triggers (cron schedule + run-now live), opt-in auto-approve for trusted automations</w:t>
      </w:r>
    </w:p>
    <w:p>
      <w:pPr>
        <w:pStyle w:val="ListBullet"/>
      </w:pPr>
      <w:r>
        <w:rPr>
          <w:b w:val="0"/>
          <w:i w:val="0"/>
        </w:rPr>
        <w:t>Team task loop — human work assigned, run through Earn, completion feeding learning signals</w:t>
      </w:r>
    </w:p>
    <w:p>
      <w:r>
        <w:rPr>
          <w:b/>
          <w:i w:val="0"/>
        </w:rPr>
        <w:t>Work product &amp; records</w:t>
      </w:r>
    </w:p>
    <w:p>
      <w:pPr>
        <w:pStyle w:val="ListBullet"/>
      </w:pPr>
      <w:r>
        <w:rPr>
          <w:b w:val="0"/>
          <w:i w:val="0"/>
        </w:rPr>
        <w:t xml:space="preserve">First-class typed </w:t>
      </w:r>
      <w:r>
        <w:rPr>
          <w:b/>
          <w:i w:val="0"/>
        </w:rPr>
        <w:t>artifacts</w:t>
      </w:r>
      <w:r>
        <w:rPr>
          <w:b w:val="0"/>
          <w:i w:val="0"/>
        </w:rPr>
        <w:t xml:space="preserve"> (IC memos, models, risk reports, LP updates) with provenance and grounding</w:t>
      </w:r>
    </w:p>
    <w:p>
      <w:pPr>
        <w:pStyle w:val="ListBullet"/>
      </w:pPr>
      <w:r>
        <w:rPr>
          <w:b w:val="0"/>
          <w:i w:val="0"/>
        </w:rPr>
        <w:t>Workflow → record persistence: Source workflows seed Deals, Execute workflows seed Assets (Claude-extracted fields, idempotent)</w:t>
      </w:r>
    </w:p>
    <w:p>
      <w:r>
        <w:rPr>
          <w:b/>
          <w:i w:val="0"/>
        </w:rPr>
        <w:t>Operator surfaces</w:t>
      </w:r>
    </w:p>
    <w:p>
      <w:pPr>
        <w:pStyle w:val="ListBullet"/>
      </w:pPr>
      <w:r>
        <w:rPr>
          <w:b w:val="0"/>
          <w:i w:val="0"/>
        </w:rPr>
        <w:t>Command Center dashboard; AI Copilot session surface with live 2D agent workspace</w:t>
      </w:r>
    </w:p>
    <w:p>
      <w:pPr>
        <w:pStyle w:val="ListBullet"/>
      </w:pPr>
      <w:r>
        <w:rPr>
          <w:b/>
          <w:i w:val="0"/>
        </w:rPr>
        <w:t>Capital Map</w:t>
      </w:r>
      <w:r>
        <w:rPr>
          <w:b w:val="0"/>
          <w:i w:val="0"/>
        </w:rPr>
        <w:t xml:space="preserve"> — relationship temperature, thesis fit, warm-intro pathfinding, gated next actions</w:t>
      </w:r>
    </w:p>
    <w:p>
      <w:pPr>
        <w:pStyle w:val="ListBullet"/>
      </w:pPr>
      <w:r>
        <w:rPr>
          <w:b/>
          <w:i w:val="0"/>
        </w:rPr>
        <w:t>Gate layer</w:t>
      </w:r>
      <w:r>
        <w:rPr>
          <w:b w:val="0"/>
          <w:i w:val="0"/>
        </w:rPr>
        <w:t xml:space="preserve"> — Tier 1/2/3 control primitive: no action reaches a counterparty without sign-off</w:t>
      </w:r>
    </w:p>
    <w:p>
      <w:pPr>
        <w:pStyle w:val="ListBullet"/>
      </w:pPr>
      <w:r>
        <w:rPr>
          <w:b/>
          <w:i w:val="0"/>
        </w:rPr>
        <w:t>Unified Inbox</w:t>
      </w:r>
      <w:r>
        <w:rPr>
          <w:b w:val="0"/>
          <w:i w:val="0"/>
        </w:rPr>
        <w:t xml:space="preserve"> — AI-triaged stream across booking/messaging/video channel adapters</w:t>
      </w:r>
    </w:p>
    <w:p>
      <w:pPr>
        <w:pStyle w:val="ListBullet"/>
      </w:pPr>
      <w:r>
        <w:rPr>
          <w:b w:val="0"/>
          <w:i w:val="0"/>
        </w:rPr>
        <w:t>Data room, investor portal, valuations, deal shares, outreach sequences, sourcing intelligence, radar digests</w:t>
      </w:r>
    </w:p>
    <w:p>
      <w:pPr>
        <w:pStyle w:val="ListBullet"/>
      </w:pPr>
      <w:r>
        <w:rPr>
          <w:b w:val="0"/>
          <w:i w:val="0"/>
        </w:rPr>
        <w:t>Demo seed/reset + guided tour (investor-demo ready)</w:t>
      </w:r>
    </w:p>
    <w:p>
      <w:r>
        <w:rPr>
          <w:b/>
          <w:i w:val="0"/>
        </w:rPr>
        <w:t>Commercial plumbing</w:t>
      </w:r>
    </w:p>
    <w:p>
      <w:pPr>
        <w:pStyle w:val="ListBullet"/>
      </w:pPr>
      <w:r>
        <w:rPr>
          <w:b w:val="0"/>
          <w:i w:val="0"/>
        </w:rPr>
        <w:t>Billing live: Starter / Pro / Scale plans + credit packs, wallet + append-only credit ledger, referrals and gifts</w:t>
      </w:r>
    </w:p>
    <w:p>
      <w:pPr>
        <w:pStyle w:val="ListBullet"/>
      </w:pPr>
      <w:r>
        <w:rPr>
          <w:b w:val="0"/>
          <w:i w:val="0"/>
        </w:rPr>
        <w:t>API keys and data-API grants; integration-connection scaffolding</w:t>
      </w:r>
    </w:p>
    <w:p>
      <w:pPr>
        <w:pStyle w:val="Heading1"/>
      </w:pPr>
      <w:r>
        <w:t>2. Now → Next 2 quarters (H2 2026) 🔧</w:t>
      </w:r>
    </w:p>
    <w:p>
      <w:r>
        <w:rPr>
          <w:b/>
          <w:i w:val="0"/>
        </w:rPr>
        <w:t>Theme: from working loop to complete lifecycle.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Detail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Three-graph query layer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/graph/relationship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/graph/deal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/graph/capital</w:t>
            </w:r>
            <w:r>
              <w:rPr>
                <w:b w:val="0"/>
                <w:i w:val="0"/>
                <w:sz w:val="18"/>
              </w:rPr>
              <w:t xml:space="preserve"> endpoints + visualizations over the existing schema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Remaining hub modules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Source (LP Pipeline, Deal Pipeline), Run (Underwriting, Diligence, Stress Test), Execute (Capital Events, Asset Management, Reporting), Build (Thesis, Entity)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Real-world trigger expansion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Email, webhook, and internal-event triggers for Automations (enum already reserved); retry/adapt-on-failure autonomy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Brain recall v2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Vectorize each org's completed high-quality artifacts into org-scoped recall — the firm's own work becomes agent memory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Deployment hardening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Fixed production Supabase environment, observability (already specified: OpenTelemetry/Sentry), SLO baselines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Design-partner conversion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3–5 external design partners live on the platform with weekly feedback loops</w:t>
            </w:r>
          </w:p>
        </w:tc>
      </w:tr>
    </w:tbl>
    <w:p/>
    <w:p>
      <w:r>
        <w:rPr>
          <w:b/>
          <w:i w:val="0"/>
        </w:rPr>
        <w:t>Exit criteria:</w:t>
      </w:r>
      <w:r>
        <w:rPr>
          <w:b w:val="0"/>
          <w:i w:val="0"/>
        </w:rPr>
        <w:t xml:space="preserve"> an emerging manager can run a raise and a deal pipeline entirely inside FundExecs OS, with at least one recurring automation trusted to run unattended.</w:t>
      </w:r>
    </w:p>
    <w:p>
      <w:pPr>
        <w:pStyle w:val="Heading1"/>
      </w:pPr>
      <w:r>
        <w:t>3. Next → 2 quarters after (H1 2027) ⏳</w:t>
      </w:r>
    </w:p>
    <w:p>
      <w:r>
        <w:rPr>
          <w:b/>
          <w:i w:val="0"/>
        </w:rPr>
        <w:t>Theme: the executive team becomes visible and proactive.</w:t>
      </w:r>
    </w:p>
    <w:p>
      <w:pPr>
        <w:pStyle w:val="ListBullet"/>
      </w:pPr>
      <w:r>
        <w:rPr>
          <w:b/>
          <w:i w:val="0"/>
        </w:rPr>
        <w:t>Proactive agent proposals</w:t>
      </w:r>
      <w:r>
        <w:rPr>
          <w:b w:val="0"/>
          <w:i w:val="0"/>
        </w:rPr>
        <w:t xml:space="preserve"> — graph-signal-driven suggested work (LP temperature drops, stale pipeline, reporting deadlines) queued for approval</w:t>
      </w:r>
    </w:p>
    <w:p>
      <w:pPr>
        <w:pStyle w:val="ListBullet"/>
      </w:pPr>
      <w:r>
        <w:rPr>
          <w:b/>
          <w:i w:val="0"/>
        </w:rPr>
        <w:t>Three.js/GSAP animated workspace</w:t>
      </w:r>
      <w:r>
        <w:rPr>
          <w:b w:val="0"/>
          <w:i w:val="0"/>
        </w:rPr>
        <w:t xml:space="preserve"> — the 2D theater graduates to the spatial agent workspace (event model and palette already in place)</w:t>
      </w:r>
    </w:p>
    <w:p>
      <w:pPr>
        <w:pStyle w:val="ListBullet"/>
      </w:pPr>
      <w:r>
        <w:rPr>
          <w:b/>
          <w:i w:val="0"/>
        </w:rPr>
        <w:t>Multimodal + multi-provider execution</w:t>
      </w:r>
      <w:r>
        <w:rPr>
          <w:b w:val="0"/>
          <w:i w:val="0"/>
        </w:rPr>
        <w:t xml:space="preserve"> — attachment storage, voice, and provider adapters behind the existing model-selector UI</w:t>
      </w:r>
    </w:p>
    <w:p>
      <w:pPr>
        <w:pStyle w:val="ListBullet"/>
      </w:pPr>
      <w:r>
        <w:rPr>
          <w:b/>
          <w:i w:val="0"/>
        </w:rPr>
        <w:t>Fund admin depth</w:t>
      </w:r>
      <w:r>
        <w:rPr>
          <w:b w:val="0"/>
          <w:i w:val="0"/>
        </w:rPr>
        <w:t xml:space="preserve"> — waterfall engine, capital-call and distribution flows on the existing </w:t>
      </w:r>
      <w:r>
        <w:rPr>
          <w:rFonts w:ascii="Consolas" w:hAnsi="Consolas"/>
          <w:b w:val="0"/>
          <w:i w:val="0"/>
          <w:sz w:val="19"/>
        </w:rPr>
        <w:t>capital_events</w:t>
      </w:r>
      <w:r>
        <w:rPr>
          <w:b w:val="0"/>
          <w:i w:val="0"/>
        </w:rPr>
        <w:t xml:space="preserve"> schema, audit-prep outputs</w:t>
      </w:r>
    </w:p>
    <w:p>
      <w:pPr>
        <w:pStyle w:val="ListBullet"/>
      </w:pPr>
      <w:r>
        <w:rPr>
          <w:b/>
          <w:i w:val="0"/>
        </w:rPr>
        <w:t>Marketplace v1</w:t>
      </w:r>
      <w:r>
        <w:rPr>
          <w:b w:val="0"/>
          <w:i w:val="0"/>
        </w:rPr>
        <w:t xml:space="preserve"> — listings + matching on the existing marketplace schema; ecosystem matchmaking</w:t>
      </w:r>
    </w:p>
    <w:p>
      <w:pPr>
        <w:pStyle w:val="ListBullet"/>
      </w:pPr>
      <w:r>
        <w:rPr>
          <w:b/>
          <w:i w:val="0"/>
        </w:rPr>
        <w:t>Security/compliance program</w:t>
      </w:r>
      <w:r>
        <w:rPr>
          <w:b w:val="0"/>
          <w:i w:val="0"/>
        </w:rPr>
        <w:t xml:space="preserve"> — SOC 2 Type I underway; data-retention and export controls productized</w:t>
      </w:r>
    </w:p>
    <w:p>
      <w:r>
        <w:rPr>
          <w:b/>
          <w:i w:val="0"/>
        </w:rPr>
        <w:t>Exit criteria:</w:t>
      </w:r>
      <w:r>
        <w:rPr>
          <w:b w:val="0"/>
          <w:i w:val="0"/>
        </w:rPr>
        <w:t xml:space="preserve"> public beta; 25+ paying orgs; agents proposing (not just executing) work.</w:t>
      </w:r>
    </w:p>
    <w:p>
      <w:pPr>
        <w:pStyle w:val="Heading1"/>
      </w:pPr>
      <w:r>
        <w:t>4. Later (H2 2027 → 2028) ⏳</w:t>
      </w:r>
    </w:p>
    <w:p>
      <w:r>
        <w:rPr>
          <w:b/>
          <w:i w:val="0"/>
        </w:rPr>
        <w:t>Theme: the network era.</w:t>
      </w:r>
    </w:p>
    <w:p>
      <w:pPr>
        <w:pStyle w:val="ListBullet"/>
      </w:pPr>
      <w:r>
        <w:rPr>
          <w:b/>
          <w:i w:val="0"/>
        </w:rPr>
        <w:t>Access/reputation/attestation layer</w:t>
      </w:r>
      <w:r>
        <w:rPr>
          <w:b w:val="0"/>
          <w:i w:val="0"/>
        </w:rPr>
        <w:t xml:space="preserve"> (specified in </w:t>
      </w:r>
      <w:r>
        <w:rPr>
          <w:rFonts w:ascii="Consolas" w:hAnsi="Consolas"/>
          <w:b w:val="0"/>
          <w:i w:val="0"/>
          <w:sz w:val="19"/>
        </w:rPr>
        <w:t>docs/TOKENIZATION_LAYERS.md</w:t>
      </w:r>
      <w:r>
        <w:rPr>
          <w:b w:val="0"/>
          <w:i w:val="0"/>
        </w:rPr>
        <w:t>): entitlements from plan × reputation × stake; verified-close attestations; reputation rebates on credit pricing — off-chain ledger first, per-unit on-chain anchoring optional later</w:t>
      </w:r>
    </w:p>
    <w:p>
      <w:pPr>
        <w:pStyle w:val="ListBullet"/>
      </w:pPr>
      <w:r>
        <w:rPr>
          <w:b/>
          <w:i w:val="0"/>
        </w:rPr>
        <w:t>Cross-firm trust fabric</w:t>
      </w:r>
      <w:r>
        <w:rPr>
          <w:b w:val="0"/>
          <w:i w:val="0"/>
        </w:rPr>
        <w:t xml:space="preserve"> — deal shares, verified track records, and portable standing between FundExecs orgs</w:t>
      </w:r>
    </w:p>
    <w:p>
      <w:pPr>
        <w:pStyle w:val="ListBullet"/>
      </w:pPr>
      <w:r>
        <w:rPr>
          <w:b/>
          <w:i w:val="0"/>
        </w:rPr>
        <w:t>Marketplace take-rate + data/API revenue</w:t>
      </w:r>
      <w:r>
        <w:rPr>
          <w:b w:val="0"/>
          <w:i w:val="0"/>
        </w:rPr>
        <w:t xml:space="preserve"> at scale</w:t>
      </w:r>
    </w:p>
    <w:p>
      <w:pPr>
        <w:pStyle w:val="ListBullet"/>
      </w:pPr>
      <w:r>
        <w:rPr>
          <w:b/>
          <w:i w:val="0"/>
        </w:rPr>
        <w:t>Enterprise tier</w:t>
      </w:r>
      <w:r>
        <w:rPr>
          <w:b w:val="0"/>
          <w:i w:val="0"/>
        </w:rPr>
        <w:t xml:space="preserve"> — SSO/SAML (schema ready), governance packs, dedicated environments</w:t>
      </w:r>
    </w:p>
    <w:p>
      <w:pPr>
        <w:pStyle w:val="ListBullet"/>
      </w:pPr>
      <w:r>
        <w:rPr>
          <w:b/>
          <w:i w:val="0"/>
        </w:rPr>
        <w:t>General availability</w:t>
      </w:r>
      <w:r>
        <w:rPr>
          <w:b w:val="0"/>
          <w:i w:val="0"/>
        </w:rPr>
        <w:t xml:space="preserve"> with published SLAs</w:t>
      </w:r>
    </w:p>
    <w:p>
      <w:pPr>
        <w:pStyle w:val="Heading1"/>
      </w:pPr>
      <w:r>
        <w:t>5. Dependencies and sequencing risks</w:t>
      </w:r>
    </w:p>
    <w:p>
      <w:pPr>
        <w:pStyle w:val="ListBullet"/>
      </w:pPr>
      <w:r>
        <w:rPr>
          <w:b/>
          <w:i w:val="0"/>
        </w:rPr>
        <w:t>Model costs and latency</w:t>
      </w:r>
      <w:r>
        <w:rPr>
          <w:b w:val="0"/>
          <w:i w:val="0"/>
        </w:rPr>
        <w:t xml:space="preserve"> — mitigated by cost-tiered routing (cheap default model, per-task overrides) and metered credits that pass usage through to pricing.</w:t>
      </w:r>
    </w:p>
    <w:p>
      <w:pPr>
        <w:pStyle w:val="ListBullet"/>
      </w:pPr>
      <w:r>
        <w:rPr>
          <w:b/>
          <w:i w:val="0"/>
        </w:rPr>
        <w:t>Build-order discipline</w:t>
      </w:r>
      <w:r>
        <w:rPr>
          <w:b w:val="0"/>
          <w:i w:val="0"/>
        </w:rPr>
        <w:t xml:space="preserve"> — UI never precedes a stable data model; this has held through 66 migrations and is why the roadmap compounds instead of resetting.</w:t>
      </w:r>
    </w:p>
    <w:p>
      <w:pPr>
        <w:pStyle w:val="ListBullet"/>
      </w:pPr>
      <w:r>
        <w:rPr>
          <w:b/>
          <w:i w:val="0"/>
        </w:rPr>
        <w:t>Compliance gating on the tokenization layer</w:t>
      </w:r>
      <w:r>
        <w:rPr>
          <w:b w:val="0"/>
          <w:i w:val="0"/>
        </w:rPr>
        <w:t xml:space="preserve"> — governance/security token layers ship only with counsel review (see document 13); the access/credits layer carries no such dependency and is already live.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