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FundExecs Technologies — Business Model Canvas</w:t>
      </w:r>
    </w:p>
    <w:p>
      <w:r>
        <w:rPr>
          <w:b w:val="0"/>
          <w:i/>
        </w:rPr>
        <w:t>Confidential · July 2026</w:t>
      </w:r>
    </w:p>
    <w:p>
      <w:pPr>
        <w:pStyle w:val="Heading1"/>
      </w:pPr>
      <w:r>
        <w:t>1. Customer segments</w:t>
      </w:r>
    </w:p>
    <w:p>
      <w:r>
        <w:rPr>
          <w:b/>
          <w:i w:val="0"/>
        </w:rPr>
        <w:t>Beachhead:</w:t>
      </w:r>
    </w:p>
    <w:p>
      <w:pPr>
        <w:pStyle w:val="ListBullet"/>
      </w:pPr>
      <w:r>
        <w:rPr>
          <w:b w:val="0"/>
          <w:i w:val="0"/>
        </w:rPr>
        <w:t>Emerging managers &amp; first-time GPs (PE, real estate, credit) raising Funds I–III</w:t>
      </w:r>
    </w:p>
    <w:p>
      <w:pPr>
        <w:pStyle w:val="ListBullet"/>
      </w:pPr>
      <w:r>
        <w:rPr>
          <w:b w:val="0"/>
          <w:i w:val="0"/>
        </w:rPr>
        <w:t>Independent sponsors and deal-by-deal syndicators</w:t>
      </w:r>
    </w:p>
    <w:p>
      <w:pPr>
        <w:pStyle w:val="ListBullet"/>
      </w:pPr>
      <w:r>
        <w:rPr>
          <w:b w:val="0"/>
          <w:i w:val="0"/>
        </w:rPr>
        <w:t>Single- and multi-family offices running direct investments</w:t>
      </w:r>
    </w:p>
    <w:p>
      <w:r>
        <w:rPr>
          <w:b/>
          <w:i w:val="0"/>
        </w:rPr>
        <w:t>Expansion:</w:t>
      </w:r>
    </w:p>
    <w:p>
      <w:pPr>
        <w:pStyle w:val="ListBullet"/>
      </w:pPr>
      <w:r>
        <w:rPr>
          <w:b w:val="0"/>
          <w:i w:val="0"/>
        </w:rPr>
        <w:t>Established lower-middle-market GPs ($100M–$1B AUM)</w:t>
      </w:r>
    </w:p>
    <w:p>
      <w:pPr>
        <w:pStyle w:val="ListBullet"/>
      </w:pPr>
      <w:r>
        <w:rPr>
          <w:b w:val="0"/>
          <w:i w:val="0"/>
        </w:rPr>
        <w:t>Placement/advisory firms and fund-service providers</w:t>
      </w:r>
    </w:p>
    <w:p>
      <w:pPr>
        <w:pStyle w:val="ListBullet"/>
      </w:pPr>
      <w:r>
        <w:rPr>
          <w:b w:val="0"/>
          <w:i w:val="0"/>
        </w:rPr>
        <w:t>Eventually: LPs/allocators (portal is already in-product) and lenders</w:t>
      </w:r>
    </w:p>
    <w:p>
      <w:pPr>
        <w:pStyle w:val="Heading1"/>
      </w:pPr>
      <w:r>
        <w:t>2. Value propositions</w:t>
      </w:r>
    </w:p>
    <w:p>
      <w:pPr>
        <w:pStyle w:val="ListBullet"/>
      </w:pPr>
      <w:r>
        <w:rPr>
          <w:b/>
          <w:i w:val="0"/>
        </w:rPr>
        <w:t>Time:</w:t>
      </w:r>
      <w:r>
        <w:rPr>
          <w:b w:val="0"/>
          <w:i w:val="0"/>
        </w:rPr>
        <w:t xml:space="preserve"> compress the ~80% of operator time spent moving information — sourcing sweeps, IC memos, diligence summaries, LP updates — from hours to minutes.</w:t>
      </w:r>
    </w:p>
    <w:p>
      <w:pPr>
        <w:pStyle w:val="ListBullet"/>
      </w:pPr>
      <w:r>
        <w:rPr>
          <w:b/>
          <w:i w:val="0"/>
        </w:rPr>
        <w:t>Headcount leverage:</w:t>
      </w:r>
      <w:r>
        <w:rPr>
          <w:b w:val="0"/>
          <w:i w:val="0"/>
        </w:rPr>
        <w:t xml:space="preserve"> an emerging manager gets the output of an analyst, an associate, an IR function, and a fund-admin prep desk for a software subscription.</w:t>
      </w:r>
    </w:p>
    <w:p>
      <w:pPr>
        <w:pStyle w:val="ListBullet"/>
      </w:pPr>
      <w:r>
        <w:rPr>
          <w:b/>
          <w:i w:val="0"/>
        </w:rPr>
        <w:t>Control:</w:t>
      </w:r>
      <w:r>
        <w:rPr>
          <w:b w:val="0"/>
          <w:i w:val="0"/>
        </w:rPr>
        <w:t xml:space="preserve"> approval-gated by default; nothing reaches a counterparty without sign-off — the only AI posture a fiduciary can adopt.</w:t>
      </w:r>
    </w:p>
    <w:p>
      <w:pPr>
        <w:pStyle w:val="ListBullet"/>
      </w:pPr>
      <w:r>
        <w:rPr>
          <w:b/>
          <w:i w:val="0"/>
        </w:rPr>
        <w:t>Compounding memory:</w:t>
      </w:r>
      <w:r>
        <w:rPr>
          <w:b w:val="0"/>
          <w:i w:val="0"/>
        </w:rPr>
        <w:t xml:space="preserve"> three native graphs + org Brains mean the platform gets smarter with every workflow; switching cost grows with every deliverable.</w:t>
      </w:r>
    </w:p>
    <w:p>
      <w:pPr>
        <w:pStyle w:val="ListBullet"/>
      </w:pPr>
      <w:r>
        <w:rPr>
          <w:b/>
          <w:i w:val="0"/>
        </w:rPr>
        <w:t>One system of record:</w:t>
      </w:r>
      <w:r>
        <w:rPr>
          <w:b w:val="0"/>
          <w:i w:val="0"/>
        </w:rPr>
        <w:t xml:space="preserve"> replaces 30+ point solutions and their integration tax.</w:t>
      </w:r>
    </w:p>
    <w:p>
      <w:pPr>
        <w:pStyle w:val="Heading1"/>
      </w:pPr>
      <w:r>
        <w:t>3. Channels</w:t>
      </w:r>
    </w:p>
    <w:p>
      <w:pPr>
        <w:pStyle w:val="ListBullet"/>
      </w:pPr>
      <w:r>
        <w:rPr>
          <w:b w:val="0"/>
          <w:i w:val="0"/>
        </w:rPr>
        <w:t>Founder-led sales into the founder's operating network (PE/family-office advisory relationships)</w:t>
      </w:r>
    </w:p>
    <w:p>
      <w:pPr>
        <w:pStyle w:val="ListBullet"/>
      </w:pPr>
      <w:r>
        <w:rPr>
          <w:b/>
          <w:i w:val="0"/>
        </w:rPr>
        <w:t>Capital-formation salons</w:t>
      </w:r>
      <w:r>
        <w:rPr>
          <w:b w:val="0"/>
          <w:i w:val="0"/>
        </w:rPr>
        <w:t xml:space="preserve"> (The $100M Room format) — rooms full of exactly the ICP, run by the Curator/Capital Raiser playbooks the product itself encodes</w:t>
      </w:r>
    </w:p>
    <w:p>
      <w:pPr>
        <w:pStyle w:val="ListBullet"/>
      </w:pPr>
      <w:r>
        <w:rPr>
          <w:b w:val="0"/>
          <w:i w:val="0"/>
        </w:rPr>
        <w:t>Product-led: self-serve signup, demo seed + guided tour, credit packs as low-friction entry</w:t>
      </w:r>
    </w:p>
    <w:p>
      <w:pPr>
        <w:pStyle w:val="ListBullet"/>
      </w:pPr>
      <w:r>
        <w:rPr>
          <w:b w:val="0"/>
          <w:i w:val="0"/>
        </w:rPr>
        <w:t>Referral program (in-product: referral credits and gifts are live)</w:t>
      </w:r>
    </w:p>
    <w:p>
      <w:pPr>
        <w:pStyle w:val="ListBullet"/>
      </w:pPr>
      <w:r>
        <w:rPr>
          <w:b w:val="0"/>
          <w:i w:val="0"/>
        </w:rPr>
        <w:t>Content/SEO motion (the SEO Disruptor playbook applied to ourselves)</w:t>
      </w:r>
    </w:p>
    <w:p>
      <w:pPr>
        <w:pStyle w:val="ListBullet"/>
      </w:pPr>
      <w:r>
        <w:rPr>
          <w:b w:val="0"/>
          <w:i w:val="0"/>
        </w:rPr>
        <w:t>Later: fund-services partnerships (fund admins, placement agents) as resellers</w:t>
      </w:r>
    </w:p>
    <w:p>
      <w:pPr>
        <w:pStyle w:val="Heading1"/>
      </w:pPr>
      <w:r>
        <w:t>4. Customer relationships</w:t>
      </w:r>
    </w:p>
    <w:p>
      <w:pPr>
        <w:pStyle w:val="ListBullet"/>
      </w:pPr>
      <w:r>
        <w:rPr>
          <w:b w:val="0"/>
          <w:i w:val="0"/>
        </w:rPr>
        <w:t>Design-partner intimacy in year one: weekly working sessions, roadmap co-creation</w:t>
      </w:r>
    </w:p>
    <w:p>
      <w:pPr>
        <w:pStyle w:val="ListBullet"/>
      </w:pPr>
      <w:r>
        <w:rPr>
          <w:b w:val="0"/>
          <w:i w:val="0"/>
        </w:rPr>
        <w:t>Self-serve + in-product guided tour for the long tail</w:t>
      </w:r>
    </w:p>
    <w:p>
      <w:pPr>
        <w:pStyle w:val="ListBullet"/>
      </w:pPr>
      <w:r>
        <w:rPr>
          <w:b w:val="0"/>
          <w:i w:val="0"/>
        </w:rPr>
        <w:t>Dedicated success for Scale-tier firms (SLA, onboarding, governance support)</w:t>
      </w:r>
    </w:p>
    <w:p>
      <w:pPr>
        <w:pStyle w:val="ListBullet"/>
      </w:pPr>
      <w:r>
        <w:rPr>
          <w:b w:val="0"/>
          <w:i w:val="0"/>
        </w:rPr>
        <w:t>The product itself maintains the relationship: agents surface value proactively (digests, radar, proposals)</w:t>
      </w:r>
    </w:p>
    <w:p>
      <w:pPr>
        <w:pStyle w:val="Heading1"/>
      </w:pPr>
      <w:r>
        <w:t>5. Revenue streams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Stream</w:t>
            </w:r>
          </w:p>
        </w:tc>
        <w:tc>
          <w:tcPr>
            <w:tcW w:type="dxa" w:w="3216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Mechanics</w:t>
            </w:r>
          </w:p>
        </w:tc>
        <w:tc>
          <w:tcPr>
            <w:tcW w:type="dxa" w:w="3216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Status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Subscription plans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Starter / Pro / Scale per-org tiers with seat limits (1 / 10 / unlimited) — live in-product at early-access pricing ($5 / $30 / $100 per month; annual = 10× monthly)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Live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Metered credits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Agent execution burns credits; credit packs ($5–$90) top up beyond plan allotments — usage revenue scales with work delegated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Live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Institutional repricing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As deliverable value is proven, tiers reprice toward the value of work replaced (target: $300–$2,000/org/mo blended; see document 08)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Planned Y1–Y2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Marketplace take-rate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Listings + matching between orgs (deal shares, services, co-invest)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Schema live; logic planned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Data / API grants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Scoped programmatic access for partners and LPs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Plumbing live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Trust layer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Reputation-based entitlements, attestations, verified track record — premium governance features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Specified</w:t>
            </w:r>
          </w:p>
        </w:tc>
      </w:tr>
    </w:tbl>
    <w:p/>
    <w:p>
      <w:pPr>
        <w:pStyle w:val="Heading1"/>
      </w:pPr>
      <w:r>
        <w:t>6. Key resources</w:t>
      </w:r>
    </w:p>
    <w:p>
      <w:pPr>
        <w:pStyle w:val="ListBullet"/>
      </w:pPr>
      <w:r>
        <w:rPr>
          <w:b w:val="0"/>
          <w:i w:val="0"/>
        </w:rPr>
        <w:t>The codebase: task engine, 15-agent layer, 66+ migration schema with RLS, graphs, billing — an estimated multi-year rebuild for a fast follower</w:t>
      </w:r>
    </w:p>
    <w:p>
      <w:pPr>
        <w:pStyle w:val="ListBullet"/>
      </w:pPr>
      <w:r>
        <w:rPr>
          <w:b w:val="0"/>
          <w:i w:val="0"/>
        </w:rPr>
        <w:t>The founder's domain expertise and operating network</w:t>
      </w:r>
    </w:p>
    <w:p>
      <w:pPr>
        <w:pStyle w:val="ListBullet"/>
      </w:pPr>
      <w:r>
        <w:rPr>
          <w:b w:val="0"/>
          <w:i w:val="0"/>
        </w:rPr>
        <w:t>BGI Fund I as in-house design partner and living proving ground</w:t>
      </w:r>
    </w:p>
    <w:p>
      <w:pPr>
        <w:pStyle w:val="ListBullet"/>
      </w:pPr>
      <w:r>
        <w:rPr>
          <w:b w:val="0"/>
          <w:i w:val="0"/>
        </w:rPr>
        <w:t>Per-agent Brain knowledge bases (proprietary domain playbooks)</w:t>
      </w:r>
    </w:p>
    <w:p>
      <w:pPr>
        <w:pStyle w:val="ListBullet"/>
      </w:pPr>
      <w:r>
        <w:rPr>
          <w:b w:val="0"/>
          <w:i w:val="0"/>
        </w:rPr>
        <w:t>Anthropic Claude models (supply relationship; abstracted behind model routing with provider adapters planned)</w:t>
      </w:r>
    </w:p>
    <w:p>
      <w:pPr>
        <w:pStyle w:val="Heading1"/>
      </w:pPr>
      <w:r>
        <w:t>7. Key activities</w:t>
      </w:r>
    </w:p>
    <w:p>
      <w:pPr>
        <w:pStyle w:val="ListBullet"/>
      </w:pPr>
      <w:r>
        <w:rPr>
          <w:b w:val="0"/>
          <w:i w:val="0"/>
        </w:rPr>
        <w:t>Product development (remaining hub modules, graph layer, marketplace)</w:t>
      </w:r>
    </w:p>
    <w:p>
      <w:pPr>
        <w:pStyle w:val="ListBullet"/>
      </w:pPr>
      <w:r>
        <w:rPr>
          <w:b w:val="0"/>
          <w:i w:val="0"/>
        </w:rPr>
        <w:t>Design-partner success and case-study production</w:t>
      </w:r>
    </w:p>
    <w:p>
      <w:pPr>
        <w:pStyle w:val="ListBullet"/>
      </w:pPr>
      <w:r>
        <w:rPr>
          <w:b w:val="0"/>
          <w:i w:val="0"/>
        </w:rPr>
        <w:t>Domain playbook authoring (Brains) — encoding elite private-market practice</w:t>
      </w:r>
    </w:p>
    <w:p>
      <w:pPr>
        <w:pStyle w:val="ListBullet"/>
      </w:pPr>
      <w:r>
        <w:rPr>
          <w:b w:val="0"/>
          <w:i w:val="0"/>
        </w:rPr>
        <w:t>Trust &amp; compliance program (SOC 2, audit features, counsel review of trust layer)</w:t>
      </w:r>
    </w:p>
    <w:p>
      <w:pPr>
        <w:pStyle w:val="Heading1"/>
      </w:pPr>
      <w:r>
        <w:t>8. Key partnerships</w:t>
      </w:r>
    </w:p>
    <w:p>
      <w:pPr>
        <w:pStyle w:val="ListBullet"/>
      </w:pPr>
      <w:r>
        <w:rPr>
          <w:b/>
          <w:i w:val="0"/>
        </w:rPr>
        <w:t>Anthropic</w:t>
      </w:r>
      <w:r>
        <w:rPr>
          <w:b w:val="0"/>
          <w:i w:val="0"/>
        </w:rPr>
        <w:t xml:space="preserve"> (model supply) · </w:t>
      </w:r>
      <w:r>
        <w:rPr>
          <w:b/>
          <w:i w:val="0"/>
        </w:rPr>
        <w:t>Supabase/Vercel/AWS</w:t>
      </w:r>
      <w:r>
        <w:rPr>
          <w:b w:val="0"/>
          <w:i w:val="0"/>
        </w:rPr>
        <w:t xml:space="preserve"> (infrastructure)</w:t>
      </w:r>
    </w:p>
    <w:p>
      <w:pPr>
        <w:pStyle w:val="ListBullet"/>
      </w:pPr>
      <w:r>
        <w:rPr>
          <w:b w:val="0"/>
          <w:i w:val="0"/>
        </w:rPr>
        <w:t>Fund formation attorneys, fund administrators, placement agents (channel + credibility)</w:t>
      </w:r>
    </w:p>
    <w:p>
      <w:pPr>
        <w:pStyle w:val="ListBullet"/>
      </w:pPr>
      <w:r>
        <w:rPr>
          <w:b w:val="0"/>
          <w:i w:val="0"/>
        </w:rPr>
        <w:t>BGI ecosystem: salons, advisory network, first-customer feedback loop (arm's-length governance per document 14)</w:t>
      </w:r>
    </w:p>
    <w:p>
      <w:pPr>
        <w:pStyle w:val="Heading1"/>
      </w:pPr>
      <w:r>
        <w:t>9. Cost structure</w:t>
      </w:r>
    </w:p>
    <w:p>
      <w:pPr>
        <w:pStyle w:val="ListBullet"/>
      </w:pPr>
      <w:r>
        <w:rPr>
          <w:b/>
          <w:i w:val="0"/>
        </w:rPr>
        <w:t>Engineering payroll</w:t>
      </w:r>
      <w:r>
        <w:rPr>
          <w:b w:val="0"/>
          <w:i w:val="0"/>
        </w:rPr>
        <w:t xml:space="preserve"> — dominant cost (see documents 08–09)</w:t>
      </w:r>
    </w:p>
    <w:p>
      <w:pPr>
        <w:pStyle w:val="ListBullet"/>
      </w:pPr>
      <w:r>
        <w:rPr>
          <w:b/>
          <w:i w:val="0"/>
        </w:rPr>
        <w:t>AI compute</w:t>
      </w:r>
      <w:r>
        <w:rPr>
          <w:b w:val="0"/>
          <w:i w:val="0"/>
        </w:rPr>
        <w:t xml:space="preserve"> — variable, passed through via credits; bounded by cost-tiered model routing and per-sweep caps</w:t>
      </w:r>
    </w:p>
    <w:p>
      <w:pPr>
        <w:pStyle w:val="ListBullet"/>
      </w:pPr>
      <w:r>
        <w:rPr>
          <w:b/>
          <w:i w:val="0"/>
        </w:rPr>
        <w:t>Infrastructure</w:t>
      </w:r>
      <w:r>
        <w:rPr>
          <w:b w:val="0"/>
          <w:i w:val="0"/>
        </w:rPr>
        <w:t xml:space="preserve"> — Supabase/Vercel/AWS; modest at current scale</w:t>
      </w:r>
    </w:p>
    <w:p>
      <w:pPr>
        <w:pStyle w:val="ListBullet"/>
      </w:pPr>
      <w:r>
        <w:rPr>
          <w:b/>
          <w:i w:val="0"/>
        </w:rPr>
        <w:t>GTM</w:t>
      </w:r>
      <w:r>
        <w:rPr>
          <w:b w:val="0"/>
          <w:i w:val="0"/>
        </w:rPr>
        <w:t xml:space="preserve"> — founder-led + salons (low CAC by design); success headcount from Y2</w:t>
      </w:r>
    </w:p>
    <w:p>
      <w:pPr>
        <w:pStyle w:val="ListBullet"/>
      </w:pPr>
      <w:r>
        <w:rPr>
          <w:b/>
          <w:i w:val="0"/>
        </w:rPr>
        <w:t>Legal/compliance</w:t>
      </w:r>
      <w:r>
        <w:rPr>
          <w:b w:val="0"/>
          <w:i w:val="0"/>
        </w:rPr>
        <w:t xml:space="preserve"> — entity/IP hygiene, securities counsel for trust layer, SOC 2</w:t>
      </w:r>
    </w:p>
    <w:p>
      <w:pPr>
        <w:pStyle w:val="Heading1"/>
      </w:pPr>
      <w:r>
        <w:t>Unit economics logic (summary)</w:t>
      </w:r>
    </w:p>
    <w:p>
      <w:r>
        <w:rPr>
          <w:b w:val="0"/>
          <w:i w:val="0"/>
        </w:rPr>
        <w:t xml:space="preserve">Credits create a direct line from </w:t>
      </w:r>
      <w:r>
        <w:rPr>
          <w:b w:val="0"/>
          <w:i/>
        </w:rPr>
        <w:t>work delegated</w:t>
      </w:r>
      <w:r>
        <w:rPr>
          <w:b w:val="0"/>
          <w:i w:val="0"/>
        </w:rPr>
        <w:t xml:space="preserve"> → </w:t>
      </w:r>
      <w:r>
        <w:rPr>
          <w:b w:val="0"/>
          <w:i/>
        </w:rPr>
        <w:t>revenue</w:t>
      </w:r>
      <w:r>
        <w:rPr>
          <w:b w:val="0"/>
          <w:i w:val="0"/>
        </w:rPr>
        <w:t>, so net revenue retention is driven by agent adoption rather than seat growth alone. Gross margin target 75–85% (SaaS-typical minus AI compute; compute per deliverable falls as model prices fall and routing improves). CAC stays low while the wedge is founder-network + salon + product-led; the marketplace and trust layers add high-margin expansion revenue on the same base.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120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7120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120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31C1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