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Technologies — Use of Funds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The raise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Instrument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Seed round (priced equity or SAFE, per counsel)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$2.5M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Runway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21–24 months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Close target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Q4 2026</w:t>
            </w:r>
          </w:p>
        </w:tc>
      </w:tr>
    </w:tbl>
    <w:p/>
    <w:p>
      <w:pPr>
        <w:pStyle w:val="IntenseQuote"/>
      </w:pPr>
      <w:r>
        <w:rPr>
          <w:b w:val="0"/>
          <w:i w:val="0"/>
        </w:rPr>
        <w:t xml:space="preserve">Note: this raise is equity/SAFE in </w:t>
      </w:r>
      <w:r>
        <w:rPr>
          <w:b/>
          <w:i w:val="0"/>
        </w:rPr>
        <w:t>FundExecs Technologies, the software company</w:t>
      </w:r>
      <w:r>
        <w:rPr>
          <w:b w:val="0"/>
          <w:i w:val="0"/>
        </w:rPr>
        <w:t>. It is entirely separate from the BGI Founding Capital Circle and from any interest in BGI Fund I. See document 14 for the entity relationship.</w:t>
      </w:r>
    </w:p>
    <w:p>
      <w:pPr>
        <w:pStyle w:val="Heading1"/>
      </w:pPr>
      <w:r>
        <w:t>2.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Category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%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What it buys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Product &amp; engineering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$1,375K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55%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3–4 founding engineers (full-stack + AI/agent orchestration) for ~21 months; ships the graph query layer, remaining Source/Run/Execute hub modules, automation trigger expansion, org-memory recall, marketplace v1, and production hardening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GTM &amp; design-partner success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$500K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Design-partner success lead; salon program (4–6 capital-formation rooms/yr); case-study production; self-serve funnel polish; referral program operations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Founder &amp; operations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$375K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Founder salary, ops/admin support, finance function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Infrastructure, AI compute, legal &amp; compliance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$250K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Anthropic/API compute for pilots, Supabase/Vercel/AWS, SOC 2 Type I, entity &amp; IP legal hygiene, securities counsel review of the trust layer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$2,500K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 w:val="0"/>
          <w:i w:val="0"/>
        </w:rPr>
        <w:t>Monthly burn ramps from ~$70K (post-close) to ~$120K (fully staffed), averaging ~$105K — consistent with 21–24 months of runway including a reserve.</w:t>
      </w:r>
    </w:p>
    <w:p>
      <w:pPr>
        <w:pStyle w:val="Heading1"/>
      </w:pPr>
      <w:r>
        <w:t>3. Milestones this capital reaches</w:t>
      </w:r>
    </w:p>
    <w:p>
      <w:r>
        <w:rPr>
          <w:b/>
          <w:i w:val="0"/>
        </w:rPr>
        <w:t>Within 6 months of close</w:t>
      </w:r>
    </w:p>
    <w:p>
      <w:pPr>
        <w:pStyle w:val="ListBullet"/>
      </w:pPr>
      <w:r>
        <w:rPr>
          <w:b w:val="0"/>
          <w:i w:val="0"/>
        </w:rPr>
        <w:t>Three-graph query layer (</w:t>
      </w:r>
      <w:r>
        <w:rPr>
          <w:rFonts w:ascii="Consolas" w:hAnsi="Consolas"/>
          <w:b w:val="0"/>
          <w:i w:val="0"/>
          <w:sz w:val="19"/>
        </w:rPr>
        <w:t>/graph/*</w:t>
      </w:r>
      <w:r>
        <w:rPr>
          <w:b w:val="0"/>
          <w:i w:val="0"/>
        </w:rPr>
        <w:t>) + visualizations shipped</w:t>
      </w:r>
    </w:p>
    <w:p>
      <w:pPr>
        <w:pStyle w:val="ListBullet"/>
      </w:pPr>
      <w:r>
        <w:rPr>
          <w:b w:val="0"/>
          <w:i w:val="0"/>
        </w:rPr>
        <w:t>3–5 external design partners live (beyond BGI Fund I), weekly feedback cadence</w:t>
      </w:r>
    </w:p>
    <w:p>
      <w:pPr>
        <w:pStyle w:val="ListBullet"/>
      </w:pPr>
      <w:r>
        <w:rPr>
          <w:b w:val="0"/>
          <w:i w:val="0"/>
        </w:rPr>
        <w:t>Email/webhook/event automation triggers live; first org-memory (Brain recall v2) increment</w:t>
      </w:r>
    </w:p>
    <w:p>
      <w:r>
        <w:rPr>
          <w:b/>
          <w:i w:val="0"/>
        </w:rPr>
        <w:t>Within 12 months</w:t>
      </w:r>
    </w:p>
    <w:p>
      <w:pPr>
        <w:pStyle w:val="ListBullet"/>
      </w:pPr>
      <w:r>
        <w:rPr>
          <w:b w:val="0"/>
          <w:i w:val="0"/>
        </w:rPr>
        <w:t>All four hubs feature-complete for the emerging-manager workflow (raise + pipeline + diligence + reporting)</w:t>
      </w:r>
    </w:p>
    <w:p>
      <w:pPr>
        <w:pStyle w:val="ListBullet"/>
      </w:pPr>
      <w:r>
        <w:rPr>
          <w:b w:val="0"/>
          <w:i w:val="0"/>
        </w:rPr>
        <w:t>Public beta; 25+ paying organizations; institutional repricing validated with at least two Scale-tier contracts</w:t>
      </w:r>
    </w:p>
    <w:p>
      <w:pPr>
        <w:pStyle w:val="ListBullet"/>
      </w:pPr>
      <w:r>
        <w:rPr>
          <w:b w:val="0"/>
          <w:i w:val="0"/>
        </w:rPr>
        <w:t>SOC 2 Type I attained</w:t>
      </w:r>
    </w:p>
    <w:p>
      <w:r>
        <w:rPr>
          <w:b/>
          <w:i w:val="0"/>
        </w:rPr>
        <w:t>Within 18–24 months (Series A position)</w:t>
      </w:r>
    </w:p>
    <w:p>
      <w:pPr>
        <w:pStyle w:val="ListBullet"/>
      </w:pPr>
      <w:r>
        <w:rPr>
          <w:b w:val="0"/>
          <w:i w:val="0"/>
        </w:rPr>
        <w:t>~$1M+ ARR run-rate, NRR ≥110%</w:t>
      </w:r>
    </w:p>
    <w:p>
      <w:pPr>
        <w:pStyle w:val="ListBullet"/>
      </w:pPr>
      <w:r>
        <w:rPr>
          <w:b w:val="0"/>
          <w:i w:val="0"/>
        </w:rPr>
        <w:t>Marketplace v1 live with first matched transactions</w:t>
      </w:r>
    </w:p>
    <w:p>
      <w:pPr>
        <w:pStyle w:val="ListBullet"/>
      </w:pPr>
      <w:r>
        <w:rPr>
          <w:b w:val="0"/>
          <w:i w:val="0"/>
        </w:rPr>
        <w:t>Proactive agent proposals shipped (the Phase-3 vision demonstrably working)</w:t>
      </w:r>
    </w:p>
    <w:p>
      <w:pPr>
        <w:pStyle w:val="ListBullet"/>
      </w:pPr>
      <w:r>
        <w:rPr>
          <w:b w:val="0"/>
          <w:i w:val="0"/>
        </w:rPr>
        <w:t>Clean data room for an $8–10M Series A</w:t>
      </w:r>
    </w:p>
    <w:p>
      <w:pPr>
        <w:pStyle w:val="Heading1"/>
      </w:pPr>
      <w:r>
        <w:t>4. What we will not spend on</w:t>
      </w:r>
    </w:p>
    <w:p>
      <w:pPr>
        <w:pStyle w:val="ListBullet"/>
      </w:pPr>
      <w:r>
        <w:rPr>
          <w:b w:val="0"/>
          <w:i w:val="0"/>
        </w:rPr>
        <w:t>Paid acquisition at scale — the wedge is founder network, salons, referrals, and product-led entry; CAC discipline is a feature of the plan, not a constraint.</w:t>
      </w:r>
    </w:p>
    <w:p>
      <w:pPr>
        <w:pStyle w:val="ListBullet"/>
      </w:pPr>
      <w:r>
        <w:rPr>
          <w:b w:val="0"/>
          <w:i w:val="0"/>
        </w:rPr>
        <w:t>Speculative on-chain deployment — the trust layer stays on the internal auditable ledger until counsel and customer demand justify anchoring (document 13).</w:t>
      </w:r>
    </w:p>
    <w:p>
      <w:pPr>
        <w:pStyle w:val="ListBullet"/>
      </w:pPr>
      <w:r>
        <w:rPr>
          <w:b w:val="0"/>
          <w:i w:val="0"/>
        </w:rPr>
        <w:t>Office/real-estate overhead — remote-first.</w:t>
      </w:r>
    </w:p>
    <w:p>
      <w:pPr>
        <w:pStyle w:val="Heading1"/>
      </w:pPr>
      <w:r>
        <w:t>5. Sensitivity</w:t>
      </w:r>
    </w:p>
    <w:p>
      <w:pPr>
        <w:pStyle w:val="ListBullet"/>
      </w:pPr>
      <w:r>
        <w:rPr>
          <w:b/>
          <w:i w:val="0"/>
        </w:rPr>
        <w:t>If the round closes at $1.5M:</w:t>
      </w:r>
      <w:r>
        <w:rPr>
          <w:b w:val="0"/>
          <w:i w:val="0"/>
        </w:rPr>
        <w:t xml:space="preserve"> drop one engineering hire and the marketplace v1 scope; hold the 12-month milestones; runway ~18 months to the same beta + 25-org proof point.</w:t>
      </w:r>
    </w:p>
    <w:p>
      <w:pPr>
        <w:pStyle w:val="ListBullet"/>
      </w:pPr>
      <w:r>
        <w:rPr>
          <w:b/>
          <w:i w:val="0"/>
        </w:rPr>
        <w:t>If the round is oversubscribed to $3.5M:</w:t>
      </w:r>
      <w:r>
        <w:rPr>
          <w:b w:val="0"/>
          <w:i w:val="0"/>
        </w:rPr>
        <w:t xml:space="preserve"> pull forward the AI engineer and the enterprise tier (SSO/SAML, governance pack), targeting $1.5M+ ARR run-rate at month 24.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