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Market Opportunity Memo</w:t>
      </w:r>
    </w:p>
    <w:p>
      <w:r>
        <w:rPr>
          <w:b w:val="0"/>
          <w:i/>
        </w:rPr>
        <w:t>Confidential · July 2026</w:t>
      </w:r>
    </w:p>
    <w:p>
      <w:pPr>
        <w:pStyle w:val="IntenseQuote"/>
      </w:pPr>
      <w:r>
        <w:rPr>
          <w:b w:val="0"/>
          <w:i w:val="0"/>
        </w:rPr>
        <w:t>Figures below are management estimates assembled from public industry data (Preqin, McKinsey/Bain private-markets reviews, vendor disclosures) as of early 2026, rounded for planning. They should be independently verified in diligence.</w:t>
      </w:r>
    </w:p>
    <w:p>
      <w:pPr>
        <w:pStyle w:val="Heading1"/>
      </w:pPr>
      <w:r>
        <w:t>1. The macro picture</w:t>
      </w:r>
    </w:p>
    <w:p>
      <w:pPr>
        <w:pStyle w:val="ListBullet"/>
      </w:pPr>
      <w:r>
        <w:rPr>
          <w:b/>
          <w:i w:val="0"/>
        </w:rPr>
        <w:t>Global private-market AUM ≈ $14–16T</w:t>
      </w:r>
      <w:r>
        <w:rPr>
          <w:b w:val="0"/>
          <w:i w:val="0"/>
        </w:rPr>
        <w:t xml:space="preserve"> (private equity, private credit, real estate, infrastructure, VC) and has compounded ~2x every 5–6 years.</w:t>
      </w:r>
    </w:p>
    <w:p>
      <w:pPr>
        <w:pStyle w:val="ListBullet"/>
      </w:pPr>
      <w:r>
        <w:rPr>
          <w:b w:val="0"/>
          <w:i w:val="0"/>
        </w:rPr>
        <w:t xml:space="preserve">The market is </w:t>
      </w:r>
      <w:r>
        <w:rPr>
          <w:b/>
          <w:i w:val="0"/>
        </w:rPr>
        <w:t>structurally fragmenting at the manager level</w:t>
      </w:r>
      <w:r>
        <w:rPr>
          <w:b w:val="0"/>
          <w:i w:val="0"/>
        </w:rPr>
        <w:t>: record numbers of spin-outs, independent sponsors, and first-time funds; family offices (10,000+ globally, growing fast) increasingly investing directly rather than through funds.</w:t>
      </w:r>
    </w:p>
    <w:p>
      <w:pPr>
        <w:pStyle w:val="ListBullet"/>
      </w:pPr>
      <w:r>
        <w:rPr>
          <w:b w:val="0"/>
          <w:i w:val="0"/>
        </w:rPr>
        <w:t>Every one of those new managers must stand up the same machinery — sourcing, LP relations, diligence, fund admin, reporting — that used to require a 20-person back and middle office.</w:t>
      </w:r>
    </w:p>
    <w:p>
      <w:pPr>
        <w:pStyle w:val="Heading1"/>
      </w:pPr>
      <w:r>
        <w:t>2. The spend we address</w:t>
      </w:r>
    </w:p>
    <w:p>
      <w:r>
        <w:rPr>
          <w:b w:val="0"/>
          <w:i w:val="0"/>
        </w:rPr>
        <w:t>Two budgets converge on FundExecs OS:</w:t>
      </w:r>
    </w:p>
    <w:p>
      <w:r>
        <w:rPr>
          <w:b/>
          <w:i w:val="0"/>
        </w:rPr>
        <w:t>(a) The software budget.</w:t>
      </w:r>
      <w:r>
        <w:rPr>
          <w:b w:val="0"/>
          <w:i w:val="0"/>
        </w:rPr>
        <w:t xml:space="preserve"> Front-to-middle-office software for private markets (deal CRM, fund admin platforms, LP portals, research/intelligence, data rooms) is an estimated </w:t>
      </w:r>
      <w:r>
        <w:rPr>
          <w:b/>
          <w:i w:val="0"/>
        </w:rPr>
        <w:t>$10B+ annual market growing low-double-digits</w:t>
      </w:r>
      <w:r>
        <w:rPr>
          <w:b w:val="0"/>
          <w:i w:val="0"/>
        </w:rPr>
        <w:t>. Reference points: Intapp acquired DealCloud into a business now generating hundreds of millions in ARR; Carta reached a multi-billion valuation on cap-table/fund admin; Juniper Square, Affinity, Dynamo, Hebbia, and AlphaSense each own profitable fragments.</w:t>
      </w:r>
    </w:p>
    <w:p>
      <w:r>
        <w:rPr>
          <w:b/>
          <w:i w:val="0"/>
        </w:rPr>
        <w:t>(b) The labor budget (the real prize).</w:t>
      </w:r>
      <w:r>
        <w:rPr>
          <w:b w:val="0"/>
          <w:i w:val="0"/>
        </w:rPr>
        <w:t xml:space="preserve"> The information work FundExecs OS automates is performed today by analysts, associates, IR staff, and fund-admin prep — commonly </w:t>
      </w:r>
      <w:r>
        <w:rPr>
          <w:b/>
          <w:i w:val="0"/>
        </w:rPr>
        <w:t>$0.5M–$5M of fully-loaded payroll per firm</w:t>
      </w:r>
      <w:r>
        <w:rPr>
          <w:b w:val="0"/>
          <w:i w:val="0"/>
        </w:rPr>
        <w:t xml:space="preserve"> even at lower-middle-market scale. Agentic software that verifiably owns this work prices against leverage, not licenses. This budget is roughly an order of magnitude larger than the software budget.</w:t>
      </w:r>
    </w:p>
    <w:p>
      <w:pPr>
        <w:pStyle w:val="Heading1"/>
      </w:pPr>
      <w:r>
        <w:t>3. TAM / SAM / SOM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val="clear" w:fill="F2E8CF"/>
          </w:tcPr>
          <w:p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Level</w:t>
            </w:r>
          </w:p>
        </w:tc>
        <w:tc>
          <w:tcPr>
            <w:tcW w:type="dxa" w:w="1930"/>
            <w:shd w:val="clear" w:fill="F2E8CF"/>
          </w:tcPr>
          <w:p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Definition</w:t>
            </w:r>
          </w:p>
        </w:tc>
        <w:tc>
          <w:tcPr>
            <w:tcW w:type="dxa" w:w="1930"/>
            <w:shd w:val="clear" w:fill="F2E8CF"/>
          </w:tcPr>
          <w:p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Count</w:t>
            </w:r>
          </w:p>
        </w:tc>
        <w:tc>
          <w:tcPr>
            <w:tcW w:type="dxa" w:w="1930"/>
            <w:shd w:val="clear" w:fill="F2E8CF"/>
          </w:tcPr>
          <w:p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Value logic</w:t>
            </w:r>
          </w:p>
        </w:tc>
        <w:tc>
          <w:tcPr>
            <w:tcW w:type="dxa" w:w="1930"/>
            <w:shd w:val="clear" w:fill="F2E8CF"/>
          </w:tcPr>
          <w:p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Size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TAM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All GPs, family offices, independent sponsors, and allocators globally that run private-market workflows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~18K GPs + ~10K family offices + ~15K sponsors/syndicators/advisors ≈ </w:t>
            </w:r>
            <w:r>
              <w:rPr>
                <w:b/>
                <w:i w:val="0"/>
                <w:sz w:val="18"/>
              </w:rPr>
              <w:t>43K+ firms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at a mature blended $25–75K/yr per firm (software + usage, still ≪ labor replaced)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$1.5–3B+ ARR</w:t>
            </w:r>
            <w:r>
              <w:rPr>
                <w:b w:val="0"/>
                <w:i w:val="0"/>
                <w:sz w:val="18"/>
              </w:rPr>
              <w:t xml:space="preserve"> software-addressable today; multiples of that as agent work displaces labor spend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SAM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English-speaking, LMM-and-below GPs, emerging managers, independent sponsors, family offices doing directs — the segment priced out of enterprise incumbents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~20–25K firms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blended $10–30K/yr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$300–600M ARR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SOM (5-yr)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Category-leading share of the beachhead via founder network, salons, PLG, and partners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~1,900 orgs (≈4–5% of SAM firms)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blended ~$13K ARPA (document 08)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~$28M ARR</w:t>
            </w:r>
          </w:p>
        </w:tc>
      </w:tr>
    </w:tbl>
    <w:p/>
    <w:p>
      <w:pPr>
        <w:pStyle w:val="Heading1"/>
      </w:pPr>
      <w:r>
        <w:t>4. Why this segment is the right wedge</w:t>
      </w:r>
    </w:p>
    <w:p>
      <w:pPr>
        <w:pStyle w:val="ListNumber"/>
      </w:pPr>
      <w:r>
        <w:rPr>
          <w:b/>
          <w:i w:val="0"/>
        </w:rPr>
        <w:t>Highest pain, lowest tooling.</w:t>
      </w:r>
      <w:r>
        <w:rPr>
          <w:b w:val="0"/>
          <w:i w:val="0"/>
        </w:rPr>
        <w:t xml:space="preserve"> Emerging managers face fund-formation and first-raise workloads with zero infrastructure; enterprise tools (DealCloud-class at $50–250K/yr plus implementation) are economically and operationally out of reach.</w:t>
      </w:r>
    </w:p>
    <w:p>
      <w:pPr>
        <w:pStyle w:val="ListNumber"/>
      </w:pPr>
      <w:r>
        <w:rPr>
          <w:b/>
          <w:i w:val="0"/>
        </w:rPr>
        <w:t>Fastest sales cycles.</w:t>
      </w:r>
      <w:r>
        <w:rPr>
          <w:b w:val="0"/>
          <w:i w:val="0"/>
        </w:rPr>
        <w:t xml:space="preserve"> Founder-to-founder sales, no procurement committee, product-led entry via $25–90 credit packs.</w:t>
      </w:r>
    </w:p>
    <w:p>
      <w:pPr>
        <w:pStyle w:val="ListNumber"/>
      </w:pPr>
      <w:r>
        <w:rPr>
          <w:b/>
          <w:i w:val="0"/>
        </w:rPr>
        <w:t>They grow into the pricing.</w:t>
      </w:r>
      <w:r>
        <w:rPr>
          <w:b w:val="0"/>
          <w:i w:val="0"/>
        </w:rPr>
        <w:t xml:space="preserve"> A Fund I manager on FundExecs becomes a Fund II/III manager on FundExecs; the platform's graphs and track-record features make leaving costlier every year.</w:t>
      </w:r>
    </w:p>
    <w:p>
      <w:pPr>
        <w:pStyle w:val="ListNumber"/>
      </w:pPr>
      <w:r>
        <w:rPr>
          <w:b/>
          <w:i w:val="0"/>
        </w:rPr>
        <w:t>Nobody owns them.</w:t>
      </w:r>
      <w:r>
        <w:rPr>
          <w:b w:val="0"/>
          <w:i w:val="0"/>
        </w:rPr>
        <w:t xml:space="preserve"> Incumbents chase the 500 largest firms; horizontal AI tools lack the domain model. The segment is a genuine white space.</w:t>
      </w:r>
    </w:p>
    <w:p>
      <w:pPr>
        <w:pStyle w:val="Heading1"/>
      </w:pPr>
      <w:r>
        <w:t>5. Structural tailwinds</w:t>
      </w:r>
    </w:p>
    <w:p>
      <w:pPr>
        <w:pStyle w:val="ListBullet"/>
      </w:pPr>
      <w:r>
        <w:rPr>
          <w:b/>
          <w:i w:val="0"/>
        </w:rPr>
        <w:t>Agentic AI capability curve</w:t>
      </w:r>
      <w:r>
        <w:rPr>
          <w:b w:val="0"/>
          <w:i w:val="0"/>
        </w:rPr>
        <w:t xml:space="preserve"> — multi-step professional work is newly automatable; the cost per deliverable is falling quarterly (model price deflation compounds our gross margin).</w:t>
      </w:r>
    </w:p>
    <w:p>
      <w:pPr>
        <w:pStyle w:val="ListBullet"/>
      </w:pPr>
      <w:r>
        <w:rPr>
          <w:b/>
          <w:i w:val="0"/>
        </w:rPr>
        <w:t>LP transparency pressure</w:t>
      </w:r>
      <w:r>
        <w:rPr>
          <w:b w:val="0"/>
          <w:i w:val="0"/>
        </w:rPr>
        <w:t xml:space="preserve"> — allocators demand institutional reporting from ever-smaller managers; compliance-grade audit trails become table stakes we already have.</w:t>
      </w:r>
    </w:p>
    <w:p>
      <w:pPr>
        <w:pStyle w:val="ListBullet"/>
      </w:pPr>
      <w:r>
        <w:rPr>
          <w:b/>
          <w:i w:val="0"/>
        </w:rPr>
        <w:t>Retail/wealth access to privates</w:t>
      </w:r>
      <w:r>
        <w:rPr>
          <w:b w:val="0"/>
          <w:i w:val="0"/>
        </w:rPr>
        <w:t xml:space="preserve"> — more vehicles, more managers, more reporting surface.</w:t>
      </w:r>
    </w:p>
    <w:p>
      <w:pPr>
        <w:pStyle w:val="ListBullet"/>
      </w:pPr>
      <w:r>
        <w:rPr>
          <w:b/>
          <w:i w:val="0"/>
        </w:rPr>
        <w:t>The great unbundling of the mega-fund</w:t>
      </w:r>
      <w:r>
        <w:rPr>
          <w:b w:val="0"/>
          <w:i w:val="0"/>
        </w:rPr>
        <w:t xml:space="preserve"> — talent spinning out needs an OS, not a 30-tool stack.</w:t>
      </w:r>
    </w:p>
    <w:p>
      <w:pPr>
        <w:pStyle w:val="Heading1"/>
      </w:pPr>
      <w:r>
        <w:t>6. Risks to the thesis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fill="F2E8CF"/>
          </w:tcPr>
          <w:p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Risk</w:t>
            </w:r>
          </w:p>
        </w:tc>
        <w:tc>
          <w:tcPr>
            <w:tcW w:type="dxa" w:w="4824"/>
            <w:shd w:val="clear" w:fill="F2E8CF"/>
          </w:tcPr>
          <w:p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Read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Incumbents add agents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They bolt AI onto record-keeping architectures without approval-gated task engines or native graphs; a true rebuild is a multi-year, cannibalizing project. Watch DealCloud/Intapp and Carta most closely.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Foundation-model platforms go vertical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Possible but historically platforms enable verticals rather than operate them; our moat is domain depth + trust architecture + compounding org data, not model access.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Beachhead budget fragility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Emerging managers fail often; mitigated by usage pricing (revenue scales with activity), multi-segment coverage (family offices are durable), and low CAC.</w:t>
            </w:r>
          </w:p>
        </w:tc>
      </w:tr>
    </w:tbl>
    <w:p/>
    <w:p>
      <w:pPr>
        <w:pStyle w:val="Heading1"/>
      </w:pPr>
      <w:r>
        <w:t>7. Bottom line</w:t>
      </w:r>
    </w:p>
    <w:p>
      <w:r>
        <w:rPr>
          <w:b w:val="0"/>
          <w:i w:val="0"/>
        </w:rPr>
        <w:t>A $1.5–3B+ software market growing double digits, sitting in front of a labor budget an order of magnitude larger, with a beachhead segment (~20K+ firms) that incumbents structurally ignore and horizontal AI cannot serve — at exactly the moment the enabling technology arrived. The opportunity supports a venture-scale outcome even at single-digit beachhead penetration.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7120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7120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7120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231C13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