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Go-To-Market Strategy</w:t>
      </w:r>
    </w:p>
    <w:p>
      <w:r>
        <w:rPr>
          <w:b w:val="0"/>
          <w:i/>
        </w:rPr>
        <w:t>Confidential · July 2026</w:t>
      </w:r>
    </w:p>
    <w:p>
      <w:pPr>
        <w:pStyle w:val="Heading1"/>
      </w:pPr>
      <w:r>
        <w:t>1. Strategy in one paragraph</w:t>
      </w:r>
    </w:p>
    <w:p>
      <w:r>
        <w:rPr>
          <w:b w:val="0"/>
          <w:i w:val="0"/>
        </w:rPr>
        <w:t xml:space="preserve">Enter at the moment of maximum pain and budget: </w:t>
      </w:r>
      <w:r>
        <w:rPr>
          <w:b/>
          <w:i w:val="0"/>
        </w:rPr>
        <w:t>capital formation for emerging managers</w:t>
      </w:r>
      <w:r>
        <w:rPr>
          <w:b w:val="0"/>
          <w:i w:val="0"/>
        </w:rPr>
        <w:t>. Prove the product on an in-house design partner (BGI Fund I) and a small cohort of external design partners, sell founder-to-founder through the founder's operating network and capital-formation salons, let the product demonstrate itself (demo seed + guided tour + credit packs), and expand from the raise workflow into the full lifecycle — because once the raise lives in FundExecs OS, the deals, diligence, and reporting follow naturally.</w:t>
      </w:r>
    </w:p>
    <w:p>
      <w:pPr>
        <w:pStyle w:val="Heading1"/>
      </w:pPr>
      <w:r>
        <w:t>2. ICP and entry trigger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Primary ICP</w:t>
            </w:r>
          </w:p>
        </w:tc>
        <w:tc>
          <w:tcPr>
            <w:tcW w:type="dxa" w:w="321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Secondary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Emerging managers (Funds I–III), independent sponsors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Family offices doing directs; LMM GPs modernizing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Size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1–15 people, $10M–$500M target AUM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up to $1B AUM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Starting or running a raise; spinning out; first institutional LP demands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Tool-stack consolidation; analyst attrition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Budget owner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Founder/Managing Partner (no procurement)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COO/CFO</w:t>
            </w:r>
          </w:p>
        </w:tc>
      </w:tr>
    </w:tbl>
    <w:p/>
    <w:p>
      <w:r>
        <w:rPr>
          <w:b/>
          <w:i w:val="0"/>
        </w:rPr>
        <w:t>Entry trigger is the raise.</w:t>
      </w:r>
      <w:r>
        <w:rPr>
          <w:b w:val="0"/>
          <w:i w:val="0"/>
        </w:rPr>
        <w:t xml:space="preserve"> A manager mid-raise needs investor research, outreach sequencing, pipeline discipline, materials, and follow-up — exactly the Source/Build agent set — and feels the pain daily.</w:t>
      </w:r>
    </w:p>
    <w:p>
      <w:pPr>
        <w:pStyle w:val="Heading1"/>
      </w:pPr>
      <w:r>
        <w:t>3. Channels (sequenced)</w:t>
      </w:r>
    </w:p>
    <w:p>
      <w:pPr>
        <w:pStyle w:val="Heading2"/>
      </w:pPr>
      <w:r>
        <w:t>Phase 1 (now → month 9): founder-led + design partners</w:t>
      </w:r>
    </w:p>
    <w:p>
      <w:pPr>
        <w:pStyle w:val="ListBullet"/>
      </w:pPr>
      <w:r>
        <w:rPr>
          <w:b/>
          <w:i w:val="0"/>
        </w:rPr>
        <w:t>BGI Fund I in-house</w:t>
      </w:r>
      <w:r>
        <w:rPr>
          <w:b w:val="0"/>
          <w:i w:val="0"/>
        </w:rPr>
        <w:t xml:space="preserve"> — the live proving ground and demo (arm's-length terms per document 14).</w:t>
      </w:r>
    </w:p>
    <w:p>
      <w:pPr>
        <w:pStyle w:val="ListBullet"/>
      </w:pPr>
      <w:r>
        <w:rPr>
          <w:b/>
          <w:i w:val="0"/>
        </w:rPr>
        <w:t>3–5 external design partners</w:t>
      </w:r>
      <w:r>
        <w:rPr>
          <w:b w:val="0"/>
          <w:i w:val="0"/>
        </w:rPr>
        <w:t xml:space="preserve"> from the founder's advisory network: discounted Scale-tier, weekly feedback, case-study rights.</w:t>
      </w:r>
    </w:p>
    <w:p>
      <w:pPr>
        <w:pStyle w:val="ListBullet"/>
      </w:pPr>
      <w:r>
        <w:rPr>
          <w:b/>
          <w:i w:val="0"/>
        </w:rPr>
        <w:t>Salon channel:</w:t>
      </w:r>
      <w:r>
        <w:rPr>
          <w:b w:val="0"/>
          <w:i w:val="0"/>
        </w:rPr>
        <w:t xml:space="preserve"> capital-formation rooms (The $100M Room format) put 25–100 exact-ICP principals in a room; the platform itself runs the event follow-up (Curator/Rainmaker agents) — the sales motion demos the product.</w:t>
      </w:r>
    </w:p>
    <w:p>
      <w:pPr>
        <w:pStyle w:val="ListBullet"/>
      </w:pPr>
      <w:r>
        <w:rPr>
          <w:b w:val="0"/>
          <w:i w:val="0"/>
        </w:rPr>
        <w:t>Target: 40 paying orgs, 2 public case studies.</w:t>
      </w:r>
    </w:p>
    <w:p>
      <w:pPr>
        <w:pStyle w:val="Heading2"/>
      </w:pPr>
      <w:r>
        <w:t>Phase 2 (months 9–18): product-led + referral flywheel</w:t>
      </w:r>
    </w:p>
    <w:p>
      <w:pPr>
        <w:pStyle w:val="ListBullet"/>
      </w:pPr>
      <w:r>
        <w:rPr>
          <w:b w:val="0"/>
          <w:i w:val="0"/>
        </w:rPr>
        <w:t>Self-serve signup → demo seed → guided tour → credit packs ($5–90) → plan conversion. The demo-readiness layer already shipped makes the product self-demonstrating.</w:t>
      </w:r>
    </w:p>
    <w:p>
      <w:pPr>
        <w:pStyle w:val="ListBullet"/>
      </w:pPr>
      <w:r>
        <w:rPr>
          <w:b/>
          <w:i w:val="0"/>
        </w:rPr>
        <w:t>In-product referral program</w:t>
      </w:r>
      <w:r>
        <w:rPr>
          <w:b w:val="0"/>
          <w:i w:val="0"/>
        </w:rPr>
        <w:t xml:space="preserve"> (live: referral credits + gifts) aimed at the tightest-networked industry on earth.</w:t>
      </w:r>
    </w:p>
    <w:p>
      <w:pPr>
        <w:pStyle w:val="ListBullet"/>
      </w:pPr>
      <w:r>
        <w:rPr>
          <w:b w:val="0"/>
          <w:i w:val="0"/>
        </w:rPr>
        <w:t>Content/SEO motion executed by our own Build-hub agents (PR Director / SEO Disruptor playbooks) — dogfooding as marketing.</w:t>
      </w:r>
    </w:p>
    <w:p>
      <w:pPr>
        <w:pStyle w:val="ListBullet"/>
      </w:pPr>
      <w:r>
        <w:rPr>
          <w:b w:val="0"/>
          <w:i w:val="0"/>
        </w:rPr>
        <w:t>Webinar-free positioning: private rooms, operator round-tables, LP-intro dinners.</w:t>
      </w:r>
    </w:p>
    <w:p>
      <w:pPr>
        <w:pStyle w:val="Heading2"/>
      </w:pPr>
      <w:r>
        <w:t>Phase 3 (months 18+): partner channel + enterprise motion</w:t>
      </w:r>
    </w:p>
    <w:p>
      <w:pPr>
        <w:pStyle w:val="ListBullet"/>
      </w:pPr>
      <w:r>
        <w:rPr>
          <w:b/>
          <w:i w:val="0"/>
        </w:rPr>
        <w:t>Fund formation attorneys, fund administrators, placement agents</w:t>
      </w:r>
      <w:r>
        <w:rPr>
          <w:b w:val="0"/>
          <w:i w:val="0"/>
        </w:rPr>
        <w:t xml:space="preserve"> as referrers/resellers — they meet every new manager first and gain a client-success tool.</w:t>
      </w:r>
    </w:p>
    <w:p>
      <w:pPr>
        <w:pStyle w:val="ListBullet"/>
      </w:pPr>
      <w:r>
        <w:rPr>
          <w:b w:val="0"/>
          <w:i w:val="0"/>
        </w:rPr>
        <w:t>Enterprise tier (SSO/SAML, governance pack) for established LMM GPs, sold on trust architecture + audit trail.</w:t>
      </w:r>
    </w:p>
    <w:p>
      <w:pPr>
        <w:pStyle w:val="ListBullet"/>
      </w:pPr>
      <w:r>
        <w:rPr>
          <w:b w:val="0"/>
          <w:i w:val="0"/>
        </w:rPr>
        <w:t>Marketplace network effects: deal shares and matchmaking give orgs a reason to invite counterparties onto the platform — each deal is a distribution event.</w:t>
      </w:r>
    </w:p>
    <w:p>
      <w:pPr>
        <w:pStyle w:val="Heading1"/>
      </w:pPr>
      <w:r>
        <w:t>4. Sales motion and funnel model</w:t>
      </w:r>
    </w:p>
    <w:p>
      <w:pPr>
        <w:spacing w:after="0"/>
      </w:pPr>
      <w:r>
        <w:rPr>
          <w:rFonts w:ascii="Consolas" w:hAnsi="Consolas"/>
          <w:sz w:val="16"/>
        </w:rPr>
        <w:t>Salon / referral / content → signup (free demo org)</w:t>
      </w:r>
    </w:p>
    <w:p>
      <w:pPr>
        <w:spacing w:after="0"/>
      </w:pPr>
      <w:r>
        <w:rPr>
          <w:rFonts w:ascii="Consolas" w:hAnsi="Consolas"/>
          <w:sz w:val="16"/>
        </w:rPr>
        <w:t xml:space="preserve">  → activation: first approved workflow with a real deliverable   [aha moment]</w:t>
      </w:r>
    </w:p>
    <w:p>
      <w:pPr>
        <w:spacing w:after="0"/>
      </w:pPr>
      <w:r>
        <w:rPr>
          <w:rFonts w:ascii="Consolas" w:hAnsi="Consolas"/>
          <w:sz w:val="16"/>
        </w:rPr>
        <w:t xml:space="preserve">  → credit pack purchase → plan (Starter/Pro)</w:t>
      </w:r>
    </w:p>
    <w:p>
      <w:pPr>
        <w:spacing w:after="0"/>
      </w:pPr>
      <w:r>
        <w:rPr>
          <w:rFonts w:ascii="Consolas" w:hAnsi="Consolas"/>
          <w:sz w:val="16"/>
        </w:rPr>
        <w:t xml:space="preserve">  → expansion: automations trusted + seats added → Scale</w:t>
      </w:r>
    </w:p>
    <w:p>
      <w:r>
        <w:rPr>
          <w:b w:val="0"/>
          <w:i w:val="0"/>
        </w:rPr>
        <w:t>Planning ratios (illustrative): salon of 50 → ~15 signups → ~8 activated → ~4 paying; referral K-factor target ≥0.4 by Phase 2. CAC target &lt;$1.5K blended in Phases 1–2 (founder-led time being the true cost), payback &lt;12 months at repriced ARPA.</w:t>
      </w:r>
    </w:p>
    <w:p>
      <w:pPr>
        <w:pStyle w:val="Heading1"/>
      </w:pPr>
      <w:r>
        <w:t>5. Pricing strategy</w:t>
      </w:r>
    </w:p>
    <w:p>
      <w:pPr>
        <w:pStyle w:val="ListBullet"/>
      </w:pPr>
      <w:r>
        <w:rPr>
          <w:b/>
          <w:i w:val="0"/>
        </w:rPr>
        <w:t>Today (early access):</w:t>
      </w:r>
      <w:r>
        <w:rPr>
          <w:b w:val="0"/>
          <w:i w:val="0"/>
        </w:rPr>
        <w:t xml:space="preserve"> Starter $5 / Pro $30 / Scale $100 per month + credit packs — deliberately underpriced to remove all friction while the value evidence is built.</w:t>
      </w:r>
    </w:p>
    <w:p>
      <w:pPr>
        <w:pStyle w:val="ListBullet"/>
      </w:pPr>
      <w:r>
        <w:rPr>
          <w:b/>
          <w:i w:val="0"/>
        </w:rPr>
        <w:t>Repricing (staged, Y1–Y2):</w:t>
      </w:r>
      <w:r>
        <w:rPr>
          <w:b w:val="0"/>
          <w:i w:val="0"/>
        </w:rPr>
        <w:t xml:space="preserve"> grandfather early cohorts; introduce institutional tiers as deliverable value is documented ($100–175 Starter-equivalent, $450–800 Pro, $1,250–2,000 Scale — see document 08). Anchor: one Pro seat-month ≈ a few hours of analyst payroll.</w:t>
      </w:r>
    </w:p>
    <w:p>
      <w:pPr>
        <w:pStyle w:val="ListBullet"/>
      </w:pPr>
      <w:r>
        <w:rPr>
          <w:b/>
          <w:i w:val="0"/>
        </w:rPr>
        <w:t>Usage (credits)</w:t>
      </w:r>
      <w:r>
        <w:rPr>
          <w:b w:val="0"/>
          <w:i w:val="0"/>
        </w:rPr>
        <w:t xml:space="preserve"> keeps entry cheap and ties expansion to delegated work; reputation-based rebates (trust layer) reward tenure — pricing itself becomes a retention mechanic.</w:t>
      </w:r>
    </w:p>
    <w:p>
      <w:pPr>
        <w:pStyle w:val="Heading1"/>
      </w:pPr>
      <w:r>
        <w:t>6. Positioning and message</w:t>
      </w:r>
    </w:p>
    <w:p>
      <w:pPr>
        <w:pStyle w:val="ListBullet"/>
      </w:pPr>
      <w:r>
        <w:rPr>
          <w:b/>
          <w:i w:val="0"/>
        </w:rPr>
        <w:t>Category:</w:t>
      </w:r>
      <w:r>
        <w:rPr>
          <w:b w:val="0"/>
          <w:i w:val="0"/>
        </w:rPr>
        <w:t xml:space="preserve"> </w:t>
      </w:r>
      <w:r>
        <w:rPr>
          <w:b w:val="0"/>
          <w:i/>
        </w:rPr>
        <w:t>the AI-native operating system for private capital</w:t>
      </w:r>
      <w:r>
        <w:rPr>
          <w:b w:val="0"/>
          <w:i w:val="0"/>
        </w:rPr>
        <w:t xml:space="preserve"> (not "CRM," not "copilot").</w:t>
      </w:r>
    </w:p>
    <w:p>
      <w:pPr>
        <w:pStyle w:val="ListBullet"/>
      </w:pPr>
      <w:r>
        <w:rPr>
          <w:b/>
          <w:i w:val="0"/>
        </w:rPr>
        <w:t>Primary message:</w:t>
      </w:r>
      <w:r>
        <w:rPr>
          <w:b w:val="0"/>
          <w:i w:val="0"/>
        </w:rPr>
        <w:t xml:space="preserve"> </w:t>
      </w:r>
      <w:r>
        <w:rPr>
          <w:b w:val="0"/>
          <w:i/>
        </w:rPr>
        <w:t>Fifteen AI executives that own the work. Nothing reaches a counterparty without your sign-off.</w:t>
      </w:r>
    </w:p>
    <w:p>
      <w:pPr>
        <w:pStyle w:val="ListBullet"/>
      </w:pPr>
      <w:r>
        <w:rPr>
          <w:b/>
          <w:i w:val="0"/>
        </w:rPr>
        <w:t>Proof style:</w:t>
      </w:r>
      <w:r>
        <w:rPr>
          <w:b w:val="0"/>
          <w:i w:val="0"/>
        </w:rPr>
        <w:t xml:space="preserve"> live demo over deck — "Source multifamily targets in Texas under $50M" → plan → approve → deliverables + a pipeline deal, in minutes.</w:t>
      </w:r>
    </w:p>
    <w:p>
      <w:pPr>
        <w:pStyle w:val="ListBullet"/>
      </w:pPr>
      <w:r>
        <w:rPr>
          <w:b/>
          <w:i w:val="0"/>
        </w:rPr>
        <w:t>Against incumbents:</w:t>
      </w:r>
      <w:r>
        <w:rPr>
          <w:b w:val="0"/>
          <w:i w:val="0"/>
        </w:rPr>
        <w:t xml:space="preserve"> "Your tools hold information. Your OS does the work."</w:t>
      </w:r>
    </w:p>
    <w:p>
      <w:pPr>
        <w:pStyle w:val="Heading1"/>
      </w:pPr>
      <w:r>
        <w:t>7. Metrics that govern the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Metric</w:t>
            </w:r>
          </w:p>
        </w:tc>
        <w:tc>
          <w:tcPr>
            <w:tcW w:type="dxa" w:w="4824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Target (month 18)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Activated orgs (first approved workflow)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60% of signups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Paying orgs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100+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ARR run-rate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~$1M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NRR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≥110%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Weekly workflows per active org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% orgs with ≥1 trusted automation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≥40% (the leading indicator of lock-in)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Referral-sourced signups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≥30%</w:t>
            </w:r>
          </w:p>
        </w:tc>
      </w:tr>
    </w:tbl>
    <w:p/>
    <w:p>
      <w:pPr>
        <w:pStyle w:val="Heading1"/>
      </w:pPr>
      <w:r>
        <w:t>8. Risks and counters</w:t>
      </w:r>
    </w:p>
    <w:p>
      <w:pPr>
        <w:pStyle w:val="ListBullet"/>
      </w:pPr>
      <w:r>
        <w:rPr>
          <w:b/>
          <w:i w:val="0"/>
        </w:rPr>
        <w:t>Salon motion doesn't scale</w:t>
      </w:r>
      <w:r>
        <w:rPr>
          <w:b w:val="0"/>
          <w:i w:val="0"/>
        </w:rPr>
        <w:t xml:space="preserve"> → it doesn't need to; it seeds the referral flywheel, and PLG + partners carry volume.</w:t>
      </w:r>
    </w:p>
    <w:p>
      <w:pPr>
        <w:pStyle w:val="ListBullet"/>
      </w:pPr>
      <w:r>
        <w:rPr>
          <w:b/>
          <w:i w:val="0"/>
        </w:rPr>
        <w:t>Free/underpriced cohort resists repricing</w:t>
      </w:r>
      <w:r>
        <w:rPr>
          <w:b w:val="0"/>
          <w:i w:val="0"/>
        </w:rPr>
        <w:t xml:space="preserve"> → grandfathering + credits mean revenue still grows with usage; repricing applies to new cohorts.</w:t>
      </w:r>
    </w:p>
    <w:p>
      <w:pPr>
        <w:pStyle w:val="ListBullet"/>
      </w:pPr>
      <w:r>
        <w:rPr>
          <w:b/>
          <w:i w:val="0"/>
        </w:rPr>
        <w:t>Activation stalls (operators don't trust agents)</w:t>
      </w:r>
      <w:r>
        <w:rPr>
          <w:b w:val="0"/>
          <w:i w:val="0"/>
        </w:rPr>
        <w:t xml:space="preserve"> → double down on the gate layer UX, provenance display, and templates seeded from real BGI Fund I workflows; the guided tour exists precisely for this.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