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&amp; Compliance Memo</w:t>
      </w:r>
    </w:p>
    <w:p>
      <w:r>
        <w:rPr>
          <w:b w:val="0"/>
          <w:i/>
        </w:rPr>
        <w:t>Confidential · July 2026</w:t>
      </w:r>
    </w:p>
    <w:p>
      <w:pPr>
        <w:pStyle w:val="IntenseQuote"/>
      </w:pPr>
      <w:r>
        <w:rPr>
          <w:b w:val="0"/>
          <w:i w:val="0"/>
        </w:rPr>
        <w:t>Purpose: candid statement of the company's regulatory posture, security architecture, AI governance, and principal risks, with mitigations. This memo is a management document, not legal advice; positions marked "counsel" are or will be confirmed with securities/technology counsel.</w:t>
      </w:r>
    </w:p>
    <w:p>
      <w:pPr>
        <w:pStyle w:val="Heading1"/>
      </w:pPr>
      <w:r>
        <w:t>1. Regulatory posture</w:t>
      </w:r>
    </w:p>
    <w:p>
      <w:pPr>
        <w:pStyle w:val="Heading2"/>
      </w:pPr>
      <w:r>
        <w:t>1.1 What FundExecs Technologies is — and is not</w:t>
      </w:r>
    </w:p>
    <w:p>
      <w:pPr>
        <w:pStyle w:val="ListBullet"/>
      </w:pPr>
      <w:r>
        <w:rPr>
          <w:b/>
          <w:i w:val="0"/>
        </w:rPr>
        <w:t>We are a software provider.</w:t>
      </w:r>
      <w:r>
        <w:rPr>
          <w:b w:val="0"/>
          <w:i w:val="0"/>
        </w:rPr>
        <w:t xml:space="preserve"> FundExecs OS is workflow, records, and drafting software used by private-market operators. The company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an investment adviser, broker-dealer, placement agent, or fund administrator of record, and the product is designed to keep it that way:</w:t>
      </w:r>
    </w:p>
    <w:p>
      <w:pPr>
        <w:pStyle w:val="ListBullet2"/>
      </w:pPr>
      <w:r>
        <w:rPr>
          <w:b w:val="0"/>
          <w:i w:val="0"/>
        </w:rPr>
        <w:t xml:space="preserve">Agents </w:t>
      </w:r>
      <w:r>
        <w:rPr>
          <w:b/>
          <w:i w:val="0"/>
        </w:rPr>
        <w:t>draft and prepare</w:t>
      </w:r>
      <w:r>
        <w:rPr>
          <w:b w:val="0"/>
          <w:i w:val="0"/>
        </w:rPr>
        <w:t xml:space="preserve">; the operator </w:t>
      </w:r>
      <w:r>
        <w:rPr>
          <w:b/>
          <w:i w:val="0"/>
        </w:rPr>
        <w:t>approves and sends</w:t>
      </w:r>
      <w:r>
        <w:rPr>
          <w:b w:val="0"/>
          <w:i w:val="0"/>
        </w:rPr>
        <w:t>. The gate layer ensures a human principal takes every counterparty-facing action.</w:t>
      </w:r>
    </w:p>
    <w:p>
      <w:pPr>
        <w:pStyle w:val="ListBullet2"/>
      </w:pPr>
      <w:r>
        <w:rPr>
          <w:b w:val="0"/>
          <w:i w:val="0"/>
        </w:rPr>
        <w:t>The platform provides no investment recommendations to investors, performs no solicitation on its own behalf, handles no customer funds, and takes no transaction-based compensation on securities transactions.</w:t>
      </w:r>
    </w:p>
    <w:p>
      <w:pPr>
        <w:pStyle w:val="ListBullet"/>
      </w:pPr>
      <w:r>
        <w:rPr>
          <w:b/>
          <w:i w:val="0"/>
        </w:rPr>
        <w:t>Marketplace design constraint (counsel):</w:t>
      </w:r>
      <w:r>
        <w:rPr>
          <w:b w:val="0"/>
          <w:i w:val="0"/>
        </w:rPr>
        <w:t xml:space="preserve"> matching/introduction features will be structured to avoid broker-dealer characterization — no success-based fees on securities transactions, no negotiation on behalf of parties. Take-rate mechanics apply to services and data products; anything touching securities transactions ships only after counsel sign-off.</w:t>
      </w:r>
    </w:p>
    <w:p>
      <w:pPr>
        <w:pStyle w:val="ListBullet"/>
      </w:pPr>
      <w:r>
        <w:rPr>
          <w:b/>
          <w:i w:val="0"/>
        </w:rPr>
        <w:t>Customer compliance is customer-owned:</w:t>
      </w:r>
      <w:r>
        <w:rPr>
          <w:b w:val="0"/>
          <w:i w:val="0"/>
        </w:rPr>
        <w:t xml:space="preserve"> tools (audit trails, provenance, retention/export) support the customer's own Advisers Act / Reg D obligations; the platform does not assume them.</w:t>
      </w:r>
    </w:p>
    <w:p>
      <w:pPr>
        <w:pStyle w:val="Heading2"/>
      </w:pPr>
      <w:r>
        <w:t>1.2 Tokenization layer (specified, staged)</w:t>
      </w:r>
    </w:p>
    <w:p>
      <w:r>
        <w:rPr>
          <w:b w:val="0"/>
          <w:i w:val="0"/>
        </w:rPr>
        <w:t xml:space="preserve">The access/reputation/attestation layer is deliberately </w:t>
      </w:r>
      <w:r>
        <w:rPr>
          <w:b/>
          <w:i w:val="0"/>
        </w:rPr>
        <w:t>off-chain, non-transferable, and internal-ledger-first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Credits</w:t>
      </w:r>
      <w:r>
        <w:rPr>
          <w:b w:val="0"/>
          <w:i w:val="0"/>
        </w:rPr>
        <w:t xml:space="preserve"> are prepaid service units (spendable, non-redeemable, non-transferable outside the platform) — a conventional SaaS metering pattern.</w:t>
      </w:r>
    </w:p>
    <w:p>
      <w:pPr>
        <w:pStyle w:val="ListBullet"/>
      </w:pPr>
      <w:r>
        <w:rPr>
          <w:b/>
          <w:i w:val="0"/>
        </w:rPr>
        <w:t>Reputation and attestations</w:t>
      </w:r>
      <w:r>
        <w:rPr>
          <w:b w:val="0"/>
          <w:i w:val="0"/>
        </w:rPr>
        <w:t xml:space="preserve"> assert that something happened; they are not transferable value.</w:t>
      </w:r>
    </w:p>
    <w:p>
      <w:pPr>
        <w:pStyle w:val="ListBullet"/>
      </w:pPr>
      <w:r>
        <w:rPr>
          <w:b w:val="0"/>
          <w:i w:val="0"/>
        </w:rPr>
        <w:t xml:space="preserve">Any future transferable or on-chain unit (e.g., anchored attestations, transferable claims) is a </w:t>
      </w:r>
      <w:r>
        <w:rPr>
          <w:b/>
          <w:i w:val="0"/>
        </w:rPr>
        <w:t>per-unit decision gated on securities counsel review</w:t>
      </w:r>
      <w:r>
        <w:rPr>
          <w:b w:val="0"/>
          <w:i w:val="0"/>
        </w:rPr>
        <w:t xml:space="preserve"> — the architecture (settlement field: internal → anchored → onchain) was designed so compliance can gate each step without a rewrite.</w:t>
      </w:r>
    </w:p>
    <w:p>
      <w:pPr>
        <w:pStyle w:val="Heading2"/>
      </w:pPr>
      <w:r>
        <w:t>1.3 Privacy &amp; data protection</w:t>
      </w:r>
    </w:p>
    <w:p>
      <w:pPr>
        <w:pStyle w:val="ListBullet"/>
      </w:pPr>
      <w:r>
        <w:rPr>
          <w:b w:val="0"/>
          <w:i w:val="0"/>
        </w:rPr>
        <w:t xml:space="preserve">Org-scoped tenancy; customers own their data and graphs; </w:t>
      </w:r>
      <w:r>
        <w:rPr>
          <w:b/>
          <w:i w:val="0"/>
        </w:rPr>
        <w:t>we do not sell or cross-pollinate customer data</w:t>
      </w:r>
      <w:r>
        <w:rPr>
          <w:b w:val="0"/>
          <w:i w:val="0"/>
        </w:rPr>
        <w:t xml:space="preserve"> across orgs.</w:t>
      </w:r>
    </w:p>
    <w:p>
      <w:pPr>
        <w:pStyle w:val="ListBullet"/>
      </w:pPr>
      <w:r>
        <w:rPr>
          <w:b w:val="0"/>
          <w:i w:val="0"/>
        </w:rPr>
        <w:t>GDPR/CCPA alignment path: data export and deletion tooling on the roadmap with the enterprise tier; DPAs offered to Scale customers.</w:t>
      </w:r>
    </w:p>
    <w:p>
      <w:pPr>
        <w:pStyle w:val="ListBullet"/>
      </w:pPr>
      <w:r>
        <w:rPr>
          <w:b w:val="0"/>
          <w:i w:val="0"/>
        </w:rPr>
        <w:t>Sensitive-communication handling in the Unified Inbox follows least-privilege scopes per connected channel.</w:t>
      </w:r>
    </w:p>
    <w:p>
      <w:pPr>
        <w:pStyle w:val="Heading1"/>
      </w:pPr>
      <w:r>
        <w:t>2. Security architecture (current state)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</w:t>
            </w:r>
          </w:p>
        </w:tc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State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Tenancy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Row-level security on </w:t>
            </w:r>
            <w:r>
              <w:rPr>
                <w:b/>
                <w:i w:val="0"/>
                <w:sz w:val="18"/>
              </w:rPr>
              <w:t>every table</w:t>
            </w:r>
            <w:r>
              <w:rPr>
                <w:b w:val="0"/>
                <w:i w:val="0"/>
                <w:sz w:val="18"/>
              </w:rPr>
              <w:t>; org-membership checks via database helper functions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AuthN/Z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Supabase Auth (email/password + Google OAuth), JWT, middleware session refresh; role-based seats by plan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Auditability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Append-only ledgers (credits, operator feedback, dispatch log), audit log migration, artifact provenance/grounding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Secrets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Never in-repo; deployment-env only (API keys, cron secret, service-role key)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Encryption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 rest (managed Postgres/S3) and in transit (TLS)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Automation guardrails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Secret-guarded cron endpoint; per-sweep spend caps; opt-in auto-approve only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SDLC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 gates (typecheck/lint/test), versioned migrations, PR review; CodeRabbit review on PRs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Roadmap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SOC 2 Type I within 12 months of seed close; observability stack (OpenTelemetry/Sentry/Grafana) per spec; pen-test before public beta</w:t>
            </w:r>
          </w:p>
        </w:tc>
      </w:tr>
    </w:tbl>
    <w:p/>
    <w:p>
      <w:pPr>
        <w:pStyle w:val="Heading1"/>
      </w:pPr>
      <w:r>
        <w:t>3. AI governance</w:t>
      </w:r>
    </w:p>
    <w:p>
      <w:r>
        <w:rPr>
          <w:b w:val="0"/>
          <w:i w:val="0"/>
        </w:rPr>
        <w:t>The central AI risk in this domain is an agent taking a wrong action toward an LP, seller, or lender, or producing confidently wrong analysis. Controls:</w:t>
      </w:r>
    </w:p>
    <w:p>
      <w:pPr>
        <w:pStyle w:val="ListNumber"/>
      </w:pPr>
      <w:r>
        <w:rPr>
          <w:b/>
          <w:i w:val="0"/>
        </w:rPr>
        <w:t>Approval gates by architecture.</w:t>
      </w:r>
      <w:r>
        <w:rPr>
          <w:b w:val="0"/>
          <w:i w:val="0"/>
        </w:rPr>
        <w:t xml:space="preserve"> The </w:t>
      </w:r>
      <w:r>
        <w:rPr>
          <w:rFonts w:ascii="Consolas" w:hAnsi="Consolas"/>
          <w:b w:val="0"/>
          <w:i w:val="0"/>
          <w:sz w:val="19"/>
        </w:rPr>
        <w:t>prompt → plan → approve → execute</w:t>
      </w:r>
      <w:r>
        <w:rPr>
          <w:b w:val="0"/>
          <w:i w:val="0"/>
        </w:rPr>
        <w:t xml:space="preserve"> spine is the only path; counterparty-facing actions sit behind Tier 1/2/3 gates. Autonomy is per-automation, opt-in, and revocable.</w:t>
      </w:r>
    </w:p>
    <w:p>
      <w:pPr>
        <w:pStyle w:val="ListNumber"/>
      </w:pPr>
      <w:r>
        <w:rPr>
          <w:b/>
          <w:i w:val="0"/>
        </w:rPr>
        <w:t>Provenance and grounding.</w:t>
      </w:r>
      <w:r>
        <w:rPr>
          <w:b w:val="0"/>
          <w:i w:val="0"/>
        </w:rPr>
        <w:t xml:space="preserve"> Artifacts carry provenance and grounding records — what produced them and from what inputs — making outputs inspectable rather than oracular.</w:t>
      </w:r>
    </w:p>
    <w:p>
      <w:pPr>
        <w:pStyle w:val="ListNumber"/>
      </w:pPr>
      <w:r>
        <w:rPr>
          <w:b/>
          <w:i w:val="0"/>
        </w:rPr>
        <w:t>Durable audit.</w:t>
      </w:r>
      <w:r>
        <w:rPr>
          <w:b w:val="0"/>
          <w:i w:val="0"/>
        </w:rPr>
        <w:t xml:space="preserve"> Every run leaves typed artifacts, task events, and ledger entries; automation runs link to their automation for after-the-fact review.</w:t>
      </w:r>
    </w:p>
    <w:p>
      <w:pPr>
        <w:pStyle w:val="ListNumber"/>
      </w:pPr>
      <w:r>
        <w:rPr>
          <w:b/>
          <w:i w:val="0"/>
        </w:rPr>
        <w:t>Cost/abuse bounds.</w:t>
      </w:r>
      <w:r>
        <w:rPr>
          <w:b w:val="0"/>
          <w:i w:val="0"/>
        </w:rPr>
        <w:t xml:space="preserve"> Cost-tiered model routing, per-sweep caps, and metered credits bound both spend and blast radius.</w:t>
      </w:r>
    </w:p>
    <w:p>
      <w:pPr>
        <w:pStyle w:val="ListNumber"/>
      </w:pPr>
      <w:r>
        <w:rPr>
          <w:b/>
          <w:i w:val="0"/>
        </w:rPr>
        <w:t>Human-fallback honesty.</w:t>
      </w:r>
      <w:r>
        <w:rPr>
          <w:b w:val="0"/>
          <w:i w:val="0"/>
        </w:rPr>
        <w:t xml:space="preserve"> Where the model is unavailable, deterministic fallbacks keep the loop functional and clearly non-intelligent rather than silently degraded.</w:t>
      </w:r>
    </w:p>
    <w:p>
      <w:pPr>
        <w:pStyle w:val="ListNumber"/>
      </w:pPr>
      <w:r>
        <w:rPr>
          <w:b/>
          <w:i w:val="0"/>
        </w:rPr>
        <w:t>Learning stays org-scoped.</w:t>
      </w:r>
      <w:r>
        <w:rPr>
          <w:b w:val="0"/>
          <w:i w:val="0"/>
        </w:rPr>
        <w:t xml:space="preserve"> Operator-feedback learning and (future) artifact recall are per-org; no cross-tenant model contamination.</w:t>
      </w:r>
    </w:p>
    <w:p>
      <w:r>
        <w:rPr>
          <w:b w:val="0"/>
          <w:i w:val="0"/>
        </w:rPr>
        <w:t xml:space="preserve">Residual risk: LLM error inside an </w:t>
      </w:r>
      <w:r>
        <w:rPr>
          <w:b w:val="0"/>
          <w:i/>
        </w:rPr>
        <w:t>approved</w:t>
      </w:r>
      <w:r>
        <w:rPr>
          <w:b w:val="0"/>
          <w:i w:val="0"/>
        </w:rPr>
        <w:t xml:space="preserve"> deliverable (e.g., a flawed pro forma). Mitigations: grounding display, sensitivity/stress-test agents as cross-checks, and positioning discipline — outputs are decision support requiring professional review, stated in ToS.</w:t>
      </w:r>
    </w:p>
    <w:p>
      <w:pPr>
        <w:pStyle w:val="Heading1"/>
      </w:pPr>
      <w:r>
        <w:t>4. Principal business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Risk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Severity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Mitigation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Model dependency</w:t>
            </w:r>
            <w:r>
              <w:rPr>
                <w:b w:val="0"/>
                <w:i w:val="0"/>
                <w:sz w:val="18"/>
              </w:rPr>
              <w:t xml:space="preserve"> (pricing, availability, terms of frontier-model supply)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Provider-adapter design (multi-model routing planned); deterministic fallbacks; credits pass cost changes through to price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Incumbent response</w:t>
            </w:r>
            <w:r>
              <w:rPr>
                <w:b w:val="0"/>
                <w:i w:val="0"/>
                <w:sz w:val="18"/>
              </w:rPr>
              <w:t xml:space="preserve"> (Intapp/Carta ship agentic layers)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Architecture head start (task engine, gates, graphs); beachhead segment incumbents don't serve; speed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Key-person concentration</w:t>
            </w:r>
            <w:r>
              <w:rPr>
                <w:b w:val="0"/>
                <w:i w:val="0"/>
                <w:sz w:val="18"/>
              </w:rPr>
              <w:t xml:space="preserve"> (solo founder)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Seed round funds founding team; AGENT.md/living-documentation practice makes the build unusually transferable; advisory bench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Beachhead fragility</w:t>
            </w:r>
            <w:r>
              <w:rPr>
                <w:b w:val="0"/>
                <w:i w:val="0"/>
                <w:sz w:val="18"/>
              </w:rPr>
              <w:t xml:space="preserve"> (emerging managers churn/fail)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Usage pricing, family-office segment, expansion into established GPs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Related-party optics</w:t>
            </w:r>
            <w:r>
              <w:rPr>
                <w:b w:val="0"/>
                <w:i w:val="0"/>
                <w:sz w:val="18"/>
              </w:rPr>
              <w:t xml:space="preserve"> (BGI/Fund I as first customer)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Arm's-length terms, disclosure, and separation governance — document 14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Repricing risk</w:t>
            </w:r>
            <w:r>
              <w:rPr>
                <w:b w:val="0"/>
                <w:i w:val="0"/>
                <w:sz w:val="18"/>
              </w:rPr>
              <w:t xml:space="preserve"> (early cohort anchored on $5–100/mo)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Grandfathering + usage growth; institutional tiers for new cohorts with documented value evidence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Security incident</w:t>
            </w:r>
            <w:r>
              <w:rPr>
                <w:b w:val="0"/>
                <w:i w:val="0"/>
                <w:sz w:val="18"/>
              </w:rPr>
              <w:t xml:space="preserve"> in a trust-sensitive market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 (high impact)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Controls in §2; SOC 2 path; incident-response plan pre-beta; insurance (E&amp;O/cyber) at seed close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Regulatory drift</w:t>
            </w:r>
            <w:r>
              <w:rPr>
                <w:b w:val="0"/>
                <w:i w:val="0"/>
                <w:sz w:val="18"/>
              </w:rPr>
              <w:t xml:space="preserve"> (AI rules, broker-dealer boundary, token regimes)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Counsel-gated feature releases (§1); conservative defaults; the product's audit-trail DNA is itself the compliance asset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Pre-revenue execution risk</w:t>
            </w:r>
            <w:r>
              <w:rPr>
                <w:b w:val="0"/>
                <w:i w:val="0"/>
                <w:sz w:val="18"/>
              </w:rPr>
              <w:t xml:space="preserve"> (alpha product, projections unproven)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Disclosed throughout this data room; milestone-based use of funds (document 09)</w:t>
            </w:r>
          </w:p>
        </w:tc>
      </w:tr>
    </w:tbl>
    <w:p/>
    <w:p>
      <w:pPr>
        <w:pStyle w:val="Heading1"/>
      </w:pPr>
      <w:r>
        <w:t>5. Insurance &amp; corporate hygiene (at/near seed close)</w:t>
      </w:r>
    </w:p>
    <w:p>
      <w:pPr>
        <w:pStyle w:val="ListBullet"/>
      </w:pPr>
      <w:r>
        <w:rPr>
          <w:b w:val="0"/>
          <w:i w:val="0"/>
        </w:rPr>
        <w:t>D&amp;O, E&amp;O/professional liability, and cyber policies</w:t>
      </w:r>
    </w:p>
    <w:p>
      <w:pPr>
        <w:pStyle w:val="ListBullet"/>
      </w:pPr>
      <w:r>
        <w:rPr>
          <w:b w:val="0"/>
          <w:i w:val="0"/>
        </w:rPr>
        <w:t>IP assignment confirmations for all contributors; standard PIIA for hires</w:t>
      </w:r>
    </w:p>
    <w:p>
      <w:pPr>
        <w:pStyle w:val="ListBullet"/>
      </w:pPr>
      <w:r>
        <w:rPr>
          <w:b w:val="0"/>
          <w:i w:val="0"/>
        </w:rPr>
        <w:t>Terms of Service / acceptable-use with AI-output disclaimer; privacy policy; DPA template</w:t>
      </w:r>
    </w:p>
    <w:p>
      <w:pPr>
        <w:pStyle w:val="ListBullet"/>
      </w:pPr>
      <w:r>
        <w:rPr>
          <w:b w:val="0"/>
          <w:i w:val="0"/>
        </w:rPr>
        <w:t>Formalization of the FundExecs Technologies ↔ BGI agreements per document 14</w:t>
      </w:r>
    </w:p>
    <w:p>
      <w:pPr>
        <w:pStyle w:val="Heading1"/>
      </w:pPr>
      <w:r>
        <w:t>6. Summary position</w:t>
      </w:r>
    </w:p>
    <w:p>
      <w:r>
        <w:rPr>
          <w:b w:val="0"/>
          <w:i w:val="0"/>
        </w:rPr>
        <w:t xml:space="preserve">The company's compliance strategy is to make </w:t>
      </w:r>
      <w:r>
        <w:rPr>
          <w:b/>
          <w:i w:val="0"/>
        </w:rPr>
        <w:t>the same architecture that sells the product be the control environment</w:t>
      </w:r>
      <w:r>
        <w:rPr>
          <w:b w:val="0"/>
          <w:i w:val="0"/>
        </w:rPr>
        <w:t>: gates, ledgers, provenance, and org-scoped isolation. We take conservative regulatory defaults (software provider, human-in-the-loop, off-chain units, counsel-gated marketplace/token features) so that compliance never has to be retrofitted onto an autonomous system after the fact.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