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BGI / Fund I / FundExecs Technologies — Relationship Memo</w:t>
      </w:r>
    </w:p>
    <w:p>
      <w:r>
        <w:rPr>
          <w:b w:val="0"/>
          <w:i/>
        </w:rPr>
        <w:t>Confidential · July 2026</w:t>
      </w:r>
    </w:p>
    <w:p>
      <w:pPr>
        <w:pStyle w:val="IntenseQuote"/>
      </w:pPr>
      <w:r>
        <w:rPr>
          <w:b w:val="0"/>
          <w:i w:val="0"/>
        </w:rPr>
        <w:t>Purpose: explain, plainly and completely, how Bey Group International (BGI), BGI Fund I, and FundExecs Technologies relate — commercially, legally, and in governance — so that an investor in any one of the three understands exactly what they are and are not buying. Final structure is subject to counsel; this memo states the intended and operating arrangement.</w:t>
      </w:r>
    </w:p>
    <w:p>
      <w:pPr>
        <w:pStyle w:val="Heading1"/>
      </w:pPr>
      <w:r>
        <w:t>1. The three entities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F2E8CF"/>
          </w:tcPr>
          <w:p>
            <w:r>
              <w:rPr>
                <w:sz w:val="18"/>
              </w:rPr>
            </w:r>
          </w:p>
        </w:tc>
        <w:tc>
          <w:tcPr>
            <w:tcW w:type="dxa" w:w="2412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Bey Group International (BGI)</w:t>
            </w:r>
          </w:p>
        </w:tc>
        <w:tc>
          <w:tcPr>
            <w:tcW w:type="dxa" w:w="2412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BGI Fund I</w:t>
            </w:r>
          </w:p>
        </w:tc>
        <w:tc>
          <w:tcPr>
            <w:tcW w:type="dxa" w:w="2412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FundExecs Technologies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What it is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Multi-strategy alternative-investment platform and holding company founded by Sheik Astin Simmons-Bey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</w:t>
            </w:r>
            <w:r>
              <w:rPr>
                <w:b/>
                <w:i w:val="0"/>
                <w:sz w:val="18"/>
              </w:rPr>
              <w:t>$100M target, control-oriented lower-middle-market private equity fund</w:t>
            </w:r>
            <w:r>
              <w:rPr>
                <w:b w:val="0"/>
                <w:i w:val="0"/>
                <w:sz w:val="18"/>
              </w:rPr>
              <w:t xml:space="preserve"> sponsored by BGI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</w:t>
            </w:r>
            <w:r>
              <w:rPr>
                <w:b/>
                <w:i w:val="0"/>
                <w:sz w:val="18"/>
              </w:rPr>
              <w:t>software company</w:t>
            </w:r>
            <w:r>
              <w:rPr>
                <w:b w:val="0"/>
                <w:i w:val="0"/>
                <w:sz w:val="18"/>
              </w:rPr>
              <w:t xml:space="preserve"> building FundExecs OS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Business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Platform building, capital formation, advisory, sponsorship of investment vehicles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Acquire underperforming but EBITDA-positive businesses and experiential real assets; institutionalize, integrate, scale, exit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Vertical AI SaaS for private-market operators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Capital instrument discussed in its materials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Founding Capital Circle</w:t>
            </w:r>
            <w:r>
              <w:rPr>
                <w:b w:val="0"/>
                <w:i w:val="0"/>
                <w:sz w:val="18"/>
              </w:rPr>
              <w:t xml:space="preserve"> — formation-capital round for the BGI platform ($1.5M target / $2M hard cap; revenue-participation instrument)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LP interests in Fund I (institutional raise; first-close target $25M)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Seed equity/SAFE in FundExecs Technologies</w:t>
            </w:r>
            <w:r>
              <w:rPr>
                <w:b w:val="0"/>
                <w:i w:val="0"/>
                <w:sz w:val="18"/>
              </w:rPr>
              <w:t xml:space="preserve"> (this data room, document 09)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Relationship to the others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Common founder; BGI ecosystem is FundExecs' design partner and first customer community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Sponsored by BGI; </w:t>
            </w:r>
            <w:r>
              <w:rPr>
                <w:b/>
                <w:i w:val="0"/>
                <w:sz w:val="18"/>
              </w:rPr>
              <w:t>customer</w:t>
            </w:r>
            <w:r>
              <w:rPr>
                <w:b w:val="0"/>
                <w:i w:val="0"/>
                <w:sz w:val="18"/>
              </w:rPr>
              <w:t xml:space="preserve"> of FundExecs OS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Independent company; </w:t>
            </w:r>
            <w:r>
              <w:rPr>
                <w:b/>
                <w:i w:val="0"/>
                <w:sz w:val="18"/>
              </w:rPr>
              <w:t>vendor</w:t>
            </w:r>
            <w:r>
              <w:rPr>
                <w:b w:val="0"/>
                <w:i w:val="0"/>
                <w:sz w:val="18"/>
              </w:rPr>
              <w:t xml:space="preserve"> to BGI/Fund I</w:t>
            </w:r>
          </w:p>
        </w:tc>
      </w:tr>
    </w:tbl>
    <w:p/>
    <w:p>
      <w:r>
        <w:rPr>
          <w:b/>
          <w:i w:val="0"/>
        </w:rPr>
        <w:t>The one-sentence version:</w:t>
      </w:r>
      <w:r>
        <w:rPr>
          <w:b w:val="0"/>
          <w:i w:val="0"/>
        </w:rPr>
        <w:t xml:space="preserve"> BGI is the founder's investment platform; BGI Fund I is the fund that platform sponsors; FundExecs Technologies is a separate software company whose product, FundExecs OS, BGI and Fund I use as their operating system — and each has its own investors, its own instrument, and its own risk.</w:t>
      </w:r>
    </w:p>
    <w:p>
      <w:pPr>
        <w:pStyle w:val="Heading1"/>
      </w:pPr>
      <w:r>
        <w:t>2. Why the three exist together</w:t>
      </w:r>
    </w:p>
    <w:p>
      <w:r>
        <w:rPr>
          <w:b w:val="0"/>
          <w:i w:val="0"/>
        </w:rPr>
        <w:t xml:space="preserve">FundExecs OS was born from the founder's operating pain inside BGI's advisory work: 4+ years serving PE funds and family offices, three hours a day lost to information movement. BGI's capital-formation program (including The $100M Room salon methodology) became the </w:t>
      </w:r>
      <w:r>
        <w:rPr>
          <w:b/>
          <w:i w:val="0"/>
        </w:rPr>
        <w:t>first live workload</w:t>
      </w:r>
      <w:r>
        <w:rPr>
          <w:b w:val="0"/>
          <w:i w:val="0"/>
        </w:rPr>
        <w:t>: the Capital Raiser, Curator, Rainmaker, and Executive Advisor agents encode playbooks proven in that program, and BGI Fund I's raise runs on the platform today.</w:t>
      </w:r>
    </w:p>
    <w:p>
      <w:r>
        <w:rPr>
          <w:b w:val="0"/>
          <w:i w:val="0"/>
        </w:rPr>
        <w:t>This is deliberate strategy, not entanglement:</w:t>
      </w:r>
    </w:p>
    <w:p>
      <w:pPr>
        <w:pStyle w:val="ListBullet"/>
      </w:pPr>
      <w:r>
        <w:rPr>
          <w:b/>
          <w:i w:val="0"/>
        </w:rPr>
        <w:t>For FundExecs:</w:t>
      </w:r>
      <w:r>
        <w:rPr>
          <w:b w:val="0"/>
          <w:i w:val="0"/>
        </w:rPr>
        <w:t xml:space="preserve"> a demanding, real, in-house design partner from day one — live workflows, honest feedback, credible case study, zero-CAC first customer.</w:t>
      </w:r>
    </w:p>
    <w:p>
      <w:pPr>
        <w:pStyle w:val="ListBullet"/>
      </w:pPr>
      <w:r>
        <w:rPr>
          <w:b/>
          <w:i w:val="0"/>
        </w:rPr>
        <w:t>For BGI/Fund I:</w:t>
      </w:r>
      <w:r>
        <w:rPr>
          <w:b w:val="0"/>
          <w:i w:val="0"/>
        </w:rPr>
        <w:t xml:space="preserve"> operating leverage — an emerging platform runs with institutional-grade process, records, and audit trails from inception ("the Moorish OS" in BGI's fund thesis refers to this operating discipline, delivered through FundExecs OS).</w:t>
      </w:r>
    </w:p>
    <w:p>
      <w:pPr>
        <w:pStyle w:val="ListBullet"/>
      </w:pPr>
      <w:r>
        <w:rPr>
          <w:b/>
          <w:i w:val="0"/>
        </w:rPr>
        <w:t>For investors in either:</w:t>
      </w:r>
      <w:r>
        <w:rPr>
          <w:b w:val="0"/>
          <w:i w:val="0"/>
        </w:rPr>
        <w:t xml:space="preserve"> the relationship is a feature </w:t>
      </w:r>
      <w:r>
        <w:rPr>
          <w:b w:val="0"/>
          <w:i/>
        </w:rPr>
        <w:t>only if</w:t>
      </w:r>
      <w:r>
        <w:rPr>
          <w:b w:val="0"/>
          <w:i w:val="0"/>
        </w:rPr>
        <w:t xml:space="preserve"> it is governed at arm's length — hence the rest of this memo.</w:t>
      </w:r>
    </w:p>
    <w:p>
      <w:pPr>
        <w:pStyle w:val="Heading1"/>
      </w:pPr>
      <w:r>
        <w:t>3. Capital separation — what each investor owns</w:t>
      </w:r>
    </w:p>
    <w:p>
      <w:r>
        <w:rPr>
          <w:b w:val="0"/>
          <w:i w:val="0"/>
        </w:rPr>
        <w:t>This is the paragraph that matters most:</w:t>
      </w:r>
    </w:p>
    <w:p>
      <w:pPr>
        <w:pStyle w:val="ListNumber"/>
      </w:pPr>
      <w:r>
        <w:rPr>
          <w:b/>
          <w:i w:val="0"/>
        </w:rPr>
        <w:t>Seed investors in FundExecs Technologies</w:t>
      </w:r>
      <w:r>
        <w:rPr>
          <w:b w:val="0"/>
          <w:i w:val="0"/>
        </w:rPr>
        <w:t xml:space="preserve"> own equity (or SAFEs) in the software company only. They have </w:t>
      </w:r>
      <w:r>
        <w:rPr>
          <w:b/>
          <w:i w:val="0"/>
        </w:rPr>
        <w:t>no interest</w:t>
      </w:r>
      <w:r>
        <w:rPr>
          <w:b w:val="0"/>
          <w:i w:val="0"/>
        </w:rPr>
        <w:t xml:space="preserve"> in BGI, the Founding Capital Circle, or BGI Fund I, and no exposure to fund performance except indirectly as Fund I is a customer.</w:t>
      </w:r>
    </w:p>
    <w:p>
      <w:pPr>
        <w:pStyle w:val="ListNumber"/>
      </w:pPr>
      <w:r>
        <w:rPr>
          <w:b/>
          <w:i w:val="0"/>
        </w:rPr>
        <w:t>Founding Capital Circle participants</w:t>
      </w:r>
      <w:r>
        <w:rPr>
          <w:b w:val="0"/>
          <w:i w:val="0"/>
        </w:rPr>
        <w:t xml:space="preserve"> hold a contractual participation in defined </w:t>
      </w:r>
      <w:r>
        <w:rPr>
          <w:b/>
          <w:i w:val="0"/>
        </w:rPr>
        <w:t>BGI management-company revenue</w:t>
      </w:r>
      <w:r>
        <w:rPr>
          <w:b w:val="0"/>
          <w:i w:val="0"/>
        </w:rPr>
        <w:t xml:space="preserve"> (15% pool, 2x cap, triggered at Fund I first close, per its own documentation). They own </w:t>
      </w:r>
      <w:r>
        <w:rPr>
          <w:b/>
          <w:i w:val="0"/>
        </w:rPr>
        <w:t>no part of FundExecs Technologies</w:t>
      </w:r>
      <w:r>
        <w:rPr>
          <w:b w:val="0"/>
          <w:i w:val="0"/>
        </w:rPr>
        <w:t xml:space="preserve"> and no LP interest in Fund I.</w:t>
      </w:r>
    </w:p>
    <w:p>
      <w:pPr>
        <w:pStyle w:val="ListNumber"/>
      </w:pPr>
      <w:r>
        <w:rPr>
          <w:b/>
          <w:i w:val="0"/>
        </w:rPr>
        <w:t>Fund I LPs</w:t>
      </w:r>
      <w:r>
        <w:rPr>
          <w:b w:val="0"/>
          <w:i w:val="0"/>
        </w:rPr>
        <w:t xml:space="preserve"> own limited-partner interests in the fund, per its LPA. They own no part of BGI's management company or FundExecs Technologies.</w:t>
      </w:r>
    </w:p>
    <w:p>
      <w:r>
        <w:rPr>
          <w:b w:val="0"/>
          <w:i w:val="0"/>
        </w:rPr>
        <w:t>No instrument converts into, or carries rights over, either of the other two entities. Marketing materials for each raise state this separation explicitly.</w:t>
      </w:r>
    </w:p>
    <w:p>
      <w:pPr>
        <w:pStyle w:val="Heading1"/>
      </w:pPr>
      <w:r>
        <w:t>4. Intellectual property</w:t>
      </w:r>
    </w:p>
    <w:p>
      <w:pPr>
        <w:pStyle w:val="ListBullet"/>
      </w:pPr>
      <w:r>
        <w:rPr>
          <w:b/>
          <w:i w:val="0"/>
        </w:rPr>
        <w:t>FundExecs OS — code, schema, agent architecture, and brand — is owned by FundExecs Technologies.</w:t>
      </w:r>
      <w:r>
        <w:rPr>
          <w:b w:val="0"/>
          <w:i w:val="0"/>
        </w:rPr>
        <w:t xml:space="preserve"> All contributions are made under IP assignment; the repository and its history are the company's asset.</w:t>
      </w:r>
    </w:p>
    <w:p>
      <w:pPr>
        <w:pStyle w:val="ListBullet"/>
      </w:pPr>
      <w:r>
        <w:rPr>
          <w:b/>
          <w:i w:val="0"/>
        </w:rPr>
        <w:t>Domain playbooks:</w:t>
      </w:r>
      <w:r>
        <w:rPr>
          <w:b w:val="0"/>
          <w:i w:val="0"/>
        </w:rPr>
        <w:t xml:space="preserve"> capital-formation methodology developed within BGI (e.g., the $100M Room salon structure, capital-raiser playbooks) is licensed or assigned into FundExecs' Brain knowledge bases under a written agreement (counsel; formalized at or before seed close), so the software company's agents stand on clean IP.</w:t>
      </w:r>
    </w:p>
    <w:p>
      <w:pPr>
        <w:pStyle w:val="ListBullet"/>
      </w:pPr>
      <w:r>
        <w:rPr>
          <w:b w:val="0"/>
          <w:i w:val="0"/>
        </w:rPr>
        <w:t>Any founder IP created before incorporation is captured by a standard founder IP assignment at incorporation/financing.</w:t>
      </w:r>
    </w:p>
    <w:p>
      <w:pPr>
        <w:pStyle w:val="Heading1"/>
      </w:pPr>
      <w:r>
        <w:t>5. Commercial terms between the entities</w:t>
      </w:r>
    </w:p>
    <w:p>
      <w:pPr>
        <w:pStyle w:val="ListBullet"/>
      </w:pPr>
      <w:r>
        <w:rPr>
          <w:b/>
          <w:i w:val="0"/>
        </w:rPr>
        <w:t>BGI / Fund I as customer:</w:t>
      </w:r>
      <w:r>
        <w:rPr>
          <w:b w:val="0"/>
          <w:i w:val="0"/>
        </w:rPr>
        <w:t xml:space="preserve"> paid subscription on standard published terms (Scale tier as repriced), with any design-partner discount documented and time-bound — the same offer available to external design partners. No perpetual free use; no revenue-share back to BGI.</w:t>
      </w:r>
    </w:p>
    <w:p>
      <w:pPr>
        <w:pStyle w:val="ListBullet"/>
      </w:pPr>
      <w:r>
        <w:rPr>
          <w:b/>
          <w:i w:val="0"/>
        </w:rPr>
        <w:t>No cross-guarantees, no commingling:</w:t>
      </w:r>
      <w:r>
        <w:rPr>
          <w:b w:val="0"/>
          <w:i w:val="0"/>
        </w:rPr>
        <w:t xml:space="preserve"> separate bank accounts, books, and counsel. FundExecs seed capital is not used to fund BGI/Fund I activities, and Founding Capital Circle proceeds are not used to fund FundExecs (each raise's use-of-funds is its own).</w:t>
      </w:r>
    </w:p>
    <w:p>
      <w:pPr>
        <w:pStyle w:val="ListBullet"/>
      </w:pPr>
      <w:r>
        <w:rPr>
          <w:b/>
          <w:i w:val="0"/>
        </w:rPr>
        <w:t>Case-study and demo rights:</w:t>
      </w:r>
      <w:r>
        <w:rPr>
          <w:b w:val="0"/>
          <w:i w:val="0"/>
        </w:rPr>
        <w:t xml:space="preserve"> FundExecs may reference Fund I workflows in anonymized/approved form; Fund I controls its LP-facing confidentiality.</w:t>
      </w:r>
    </w:p>
    <w:p>
      <w:pPr>
        <w:pStyle w:val="Heading1"/>
      </w:pPr>
      <w:r>
        <w:t>6. Governance of the conflict</w:t>
      </w:r>
    </w:p>
    <w:p>
      <w:r>
        <w:rPr>
          <w:b w:val="0"/>
          <w:i w:val="0"/>
        </w:rPr>
        <w:t>The founder controls all three entities today. Measures that keep the relationship clean:</w:t>
      </w:r>
    </w:p>
    <w:p>
      <w:pPr>
        <w:pStyle w:val="ListNumber"/>
      </w:pPr>
      <w:r>
        <w:rPr>
          <w:b/>
          <w:i w:val="0"/>
        </w:rPr>
        <w:t>Disclosure first.</w:t>
      </w:r>
      <w:r>
        <w:rPr>
          <w:b w:val="0"/>
          <w:i w:val="0"/>
        </w:rPr>
        <w:t xml:space="preserve"> This memo sits in all three data rooms; every investor sees the same picture.</w:t>
      </w:r>
    </w:p>
    <w:p>
      <w:pPr>
        <w:pStyle w:val="ListNumber"/>
      </w:pPr>
      <w:r>
        <w:rPr>
          <w:b/>
          <w:i w:val="0"/>
        </w:rPr>
        <w:t>Arm's-length pricing</w:t>
      </w:r>
      <w:r>
        <w:rPr>
          <w:b w:val="0"/>
          <w:i w:val="0"/>
        </w:rPr>
        <w:t xml:space="preserve"> for the vendor relationship (§5), benchmarked against external design-partner terms.</w:t>
      </w:r>
    </w:p>
    <w:p>
      <w:pPr>
        <w:pStyle w:val="ListNumber"/>
      </w:pPr>
      <w:r>
        <w:rPr>
          <w:b/>
          <w:i w:val="0"/>
        </w:rPr>
        <w:t>Time allocation:</w:t>
      </w:r>
      <w:r>
        <w:rPr>
          <w:b w:val="0"/>
          <w:i w:val="0"/>
        </w:rPr>
        <w:t xml:space="preserve"> post-seed, the founder's operating commitment is to FundExecs Technologies; BGI/Fund I responsibilities are disclosed to seed investors, with fund-side operating load carried by fund-side hires/partners as Fund I scales. (Investors should diligence this directly with the founder.)</w:t>
      </w:r>
    </w:p>
    <w:p>
      <w:pPr>
        <w:pStyle w:val="ListNumber"/>
      </w:pPr>
      <w:r>
        <w:rPr>
          <w:b/>
          <w:i w:val="0"/>
        </w:rPr>
        <w:t>Board/observer rights</w:t>
      </w:r>
      <w:r>
        <w:rPr>
          <w:b w:val="0"/>
          <w:i w:val="0"/>
        </w:rPr>
        <w:t xml:space="preserve"> granted with the seed round give FundExecs investors visibility into any related-party transaction; related-party dealings above a de-minimis threshold require board approval.</w:t>
      </w:r>
    </w:p>
    <w:p>
      <w:pPr>
        <w:pStyle w:val="ListNumber"/>
      </w:pPr>
      <w:r>
        <w:rPr>
          <w:b/>
          <w:i w:val="0"/>
        </w:rPr>
        <w:t>Data isolation by architecture:</w:t>
      </w:r>
      <w:r>
        <w:rPr>
          <w:b w:val="0"/>
          <w:i w:val="0"/>
        </w:rPr>
        <w:t xml:space="preserve"> BGI's org on FundExecs OS is subject to the same row-level-security tenancy as any customer — the software company's staff and other customers have no privileged access to Fund I's LP data, and vice versa.</w:t>
      </w:r>
    </w:p>
    <w:p>
      <w:pPr>
        <w:pStyle w:val="Heading1"/>
      </w:pPr>
      <w:r>
        <w:t>7. What each party gets from the flywheel (the upside case)</w:t>
      </w:r>
    </w:p>
    <w:p>
      <w:pPr>
        <w:spacing w:after="0"/>
      </w:pPr>
      <w:r>
        <w:rPr>
          <w:rFonts w:ascii="Consolas" w:hAnsi="Consolas"/>
          <w:sz w:val="16"/>
        </w:rPr>
        <w:t>BGI Fund I raises and operates on FundExecs OS</w:t>
      </w:r>
    </w:p>
    <w:p>
      <w:pPr>
        <w:spacing w:after="0"/>
      </w:pPr>
      <w:r>
        <w:rPr>
          <w:rFonts w:ascii="Consolas" w:hAnsi="Consolas"/>
          <w:sz w:val="16"/>
        </w:rPr>
        <w:t xml:space="preserve">        │  proves the product on a live $100M campaign</w:t>
      </w:r>
    </w:p>
    <w:p>
      <w:pPr>
        <w:spacing w:after="0"/>
      </w:pPr>
      <w:r>
        <w:rPr>
          <w:rFonts w:ascii="Consolas" w:hAnsi="Consolas"/>
          <w:sz w:val="16"/>
        </w:rPr>
        <w:t xml:space="preserve">        ▼</w:t>
      </w:r>
    </w:p>
    <w:p>
      <w:pPr>
        <w:spacing w:after="0"/>
      </w:pPr>
      <w:r>
        <w:rPr>
          <w:rFonts w:ascii="Consolas" w:hAnsi="Consolas"/>
          <w:sz w:val="16"/>
        </w:rPr>
        <w:t>FundExecs gains case studies, playbooks, and product truth</w:t>
      </w:r>
    </w:p>
    <w:p>
      <w:pPr>
        <w:spacing w:after="0"/>
      </w:pPr>
      <w:r>
        <w:rPr>
          <w:rFonts w:ascii="Consolas" w:hAnsi="Consolas"/>
          <w:sz w:val="16"/>
        </w:rPr>
        <w:t xml:space="preserve">        │  sells to the thousands of managers shaped like BGI</w:t>
      </w:r>
    </w:p>
    <w:p>
      <w:pPr>
        <w:spacing w:after="0"/>
      </w:pPr>
      <w:r>
        <w:rPr>
          <w:rFonts w:ascii="Consolas" w:hAnsi="Consolas"/>
          <w:sz w:val="16"/>
        </w:rPr>
        <w:t xml:space="preserve">        ▼</w:t>
      </w:r>
    </w:p>
    <w:p>
      <w:pPr>
        <w:spacing w:after="0"/>
      </w:pPr>
      <w:r>
        <w:rPr>
          <w:rFonts w:ascii="Consolas" w:hAnsi="Consolas"/>
          <w:sz w:val="16"/>
        </w:rPr>
        <w:t>FundExecs' category leadership burnishes BGI's operating edge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│  ("institutional process from day one")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▼</w:t>
      </w:r>
    </w:p>
    <w:p>
      <w:pPr>
        <w:spacing w:after="0"/>
      </w:pPr>
      <w:r>
        <w:rPr>
          <w:rFonts w:ascii="Consolas" w:hAnsi="Consolas"/>
          <w:sz w:val="16"/>
        </w:rPr>
        <w:t>Each strengthens the other's story — without either owning the other's risk</w:t>
      </w:r>
    </w:p>
    <w:p>
      <w:pPr>
        <w:pStyle w:val="Heading1"/>
      </w:pPr>
      <w:r>
        <w:t>8. Risks of the relationship (stated plainly)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Risk</w:t>
            </w:r>
          </w:p>
        </w:tc>
        <w:tc>
          <w:tcPr>
            <w:tcW w:type="dxa" w:w="4824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Mitigation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Founder bandwidth split across three entities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§6.3 commitment + seed-funded team; diligence directly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Optics of self-dealing (vendor terms, IP)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Written arm's-length agreements, disclosure, board approval of related-party transactions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Confusion between the raises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Capital separation language (§3) in every instrument's materials; different instruments, different banks, different counsel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Fund I underperformance reflecting on FundExecs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FundExecs' customer base diversifies beyond BGI in year one (document 12); Fund I is a customer, not collateral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Brain/playbook IP provenance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License/assignment executed at or before seed close (§4)</w:t>
            </w:r>
          </w:p>
        </w:tc>
      </w:tr>
    </w:tbl>
    <w:p/>
    <w:p>
      <w:pPr>
        <w:pStyle w:val="Heading1"/>
      </w:pPr>
      <w:r>
        <w:t>9. Bottom line</w:t>
      </w:r>
    </w:p>
    <w:p>
      <w:r>
        <w:rPr>
          <w:b w:val="0"/>
          <w:i w:val="0"/>
        </w:rPr>
        <w:t xml:space="preserve">BGI and Fund I are FundExecs Technologies' origin story and first customer — not its parent, its guarantor, or its risk. The three entities are kept separate in capital, books, IP, and governance, and connected only by a founder, a vendor agreement at arm's length, and a shared conviction: </w:t>
      </w:r>
      <w:r>
        <w:rPr>
          <w:b/>
          <w:i w:val="0"/>
        </w:rPr>
        <w:t>the next generation of investment firms will be operators plus an AI operating system.</w:t>
      </w:r>
      <w:r>
        <w:rPr>
          <w:b w:val="0"/>
          <w:i w:val="0"/>
        </w:rPr>
        <w:t xml:space="preserve"> BGI Fund I is simply the first firm to run that way.</w:t>
      </w:r>
    </w:p>
    <w:p>
      <w:r>
        <w:rPr>
          <w:b w:val="0"/>
          <w:i/>
        </w:rPr>
        <w:t>Questions on this structure: sheikastinsimmonsbey@gmail.com. Definitive terms live in the respective legal documents of each entity; if anything in this memo conflicts with those documents, the documents govern.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120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12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120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31C1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