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Engineering Requirements Document – Supplier Interaction Agent</w:t>
      </w:r>
    </w:p>
    <w:p>
      <w:pPr>
        <w:pStyle w:val="Heading2"/>
      </w:pPr>
      <w:r>
        <w:t>1. Overview</w:t>
      </w:r>
    </w:p>
    <w:p>
      <w:r>
        <w:t xml:space="preserve">The Supplier Interaction Agent manages the secure and traceable communication layer between the procurement system and suppliers. </w:t>
        <w:br/>
        <w:t xml:space="preserve">It ensures all supplier-facing interactions (negotiation messages, clarifications, quote requests, data exchanges) are delivered, tracked, and logged across supported channels. </w:t>
        <w:br/>
        <w:t>Unlike the Negotiation Agent (strategy) or Email Drafting Agent (content generation), this agent focuses on message delivery, state management, channel orchestration, and supplier engagement tracking.</w:t>
      </w:r>
    </w:p>
    <w:p>
      <w:pPr>
        <w:pStyle w:val="Heading2"/>
      </w:pPr>
      <w:r>
        <w:t>2. Scope</w:t>
      </w:r>
    </w:p>
    <w:p>
      <w:r>
        <w:t>In-Scope:</w:t>
        <w:br/>
        <w:t>- Managing communication channels: email, portal, API.</w:t>
        <w:br/>
        <w:t>- Supplier identity management and authentication.</w:t>
        <w:br/>
        <w:t>- Delivery assurance and retries.</w:t>
        <w:br/>
        <w:t>- Read receipts, SLA timers, and response status tracking.</w:t>
        <w:br/>
        <w:t>- Logging all communications in Procurement Knowledge Graph.</w:t>
        <w:br/>
        <w:t>- Exposing supplier interaction history to other agents.</w:t>
        <w:br/>
        <w:br/>
        <w:t>Out-of-Scope (MVP):</w:t>
        <w:br/>
        <w:t>- Drafting/authoring messages (done by Email Drafting Agent).</w:t>
        <w:br/>
        <w:t>- Negotiation logic or strategy (done by Negotiation Agent).</w:t>
        <w:br/>
        <w:t>- Supplier onboarding/KYC (future Supplier Management Agent).</w:t>
      </w:r>
    </w:p>
    <w:p>
      <w:pPr>
        <w:pStyle w:val="Heading2"/>
      </w:pPr>
      <w:r>
        <w:t>3. Functional Requirements</w:t>
      </w:r>
    </w:p>
    <w:p>
      <w:r>
        <w:t>3.1 Communication Channel Management</w:t>
        <w:br/>
        <w:t>- Supports email, portal, and API channels.</w:t>
        <w:br/>
        <w:t>- Routes messages based on supplier profile.</w:t>
        <w:br/>
        <w:br/>
        <w:t>3.2 Message Delivery &amp; Tracking</w:t>
        <w:br/>
        <w:t>- Guarantees delivery with retries.</w:t>
        <w:br/>
        <w:t>- Logs sent, delivered, read, replied events.</w:t>
        <w:br/>
        <w:br/>
        <w:t>3.3 Supplier Authentication</w:t>
        <w:br/>
        <w:t>- Portal suppliers must authenticate via SSO, MFA, or token.</w:t>
        <w:br/>
        <w:t>- All messages tied to verified supplier ID.</w:t>
        <w:br/>
        <w:br/>
        <w:t>3.4 SLA &amp; Response Monitoring</w:t>
        <w:br/>
        <w:t>- Tracks response times per message.</w:t>
        <w:br/>
        <w:t>- Flags overdue responses in Review Actions Hub.</w:t>
        <w:br/>
        <w:br/>
        <w:t>3.5 Audit &amp; Knowledge Graph Logging</w:t>
        <w:br/>
        <w:t>- Logs all interactions with metadata and timestamps.</w:t>
        <w:br/>
        <w:t>- Links logs to negotiation sessions, approvals, opportunities.</w:t>
        <w:br/>
        <w:br/>
        <w:t>3.6 Review Actions Integration</w:t>
        <w:br/>
        <w:t>- Creates Interaction Cards in Review Actions Hub when supplier response needs review.</w:t>
        <w:br/>
        <w:t>- Pop-ups show context and available actions (Acknowledge, Escalate, Route).</w:t>
      </w:r>
    </w:p>
    <w:p>
      <w:pPr>
        <w:pStyle w:val="Heading2"/>
      </w:pPr>
      <w:r>
        <w:t>3.7 Acceptance Criteria</w:t>
      </w:r>
    </w:p>
    <w:p>
      <w:r>
        <w:t>1. All supplier communications logged in Procurement Knowledge Graph.</w:t>
        <w:br/>
        <w:t>2. Supplier responses surface as Interaction Cards in Review Actions Hub.</w:t>
        <w:br/>
        <w:t>3. No drafting capability included (Email Drafting Agent responsibility).</w:t>
        <w:br/>
        <w:t>4. No negotiation logic included (Negotiation Agent responsibility).</w:t>
        <w:br/>
        <w:t>5. SLA monitoring: overdue responses flagged within 1 minute.</w:t>
        <w:br/>
        <w:t>6. Delivery assurance: ≥ 99% successful delivery logged.</w:t>
        <w:br/>
        <w:t>7. Supplier authentication enforced.</w:t>
        <w:br/>
        <w:t>8. Immutable audit trail exportable in CSV/PDF.</w:t>
      </w:r>
    </w:p>
    <w:p>
      <w:pPr>
        <w:pStyle w:val="Heading2"/>
      </w:pPr>
      <w:r>
        <w:t>4. Non-Functional Requirements</w:t>
      </w:r>
    </w:p>
    <w:p>
      <w:r>
        <w:t>- Scalability: 50,000+ concurrent threads.</w:t>
        <w:br/>
        <w:t>- Latency: Delivery confirmation within 2s.</w:t>
        <w:br/>
        <w:t>- Availability: 99.9% uptime.</w:t>
        <w:br/>
        <w:t>- Security: TLS encryption, MFA enforced.</w:t>
        <w:br/>
        <w:t>- Auditability: Immutable records.</w:t>
      </w:r>
    </w:p>
    <w:p>
      <w:pPr>
        <w:pStyle w:val="Heading2"/>
      </w:pPr>
      <w:r>
        <w:t>5. Data Model (Core Entities)</w:t>
      </w:r>
    </w:p>
    <w:p>
      <w:r>
        <w:t>SupplierMessage</w:t>
        <w:br/>
        <w:t>- message_id, supplier_id, channel, direction, status, body_ref, timestamp.</w:t>
        <w:br/>
        <w:br/>
        <w:t>SupplierChannelProfile</w:t>
        <w:br/>
        <w:t>- supplier_id, preferred_channel, auth_method, SLA_target.</w:t>
        <w:br/>
        <w:br/>
        <w:t>SupplierInteractionLog</w:t>
        <w:br/>
        <w:t>- interaction_id, negotiation_id/opportunity_id, message_ids, status, last_updated.</w:t>
      </w:r>
    </w:p>
    <w:p>
      <w:pPr>
        <w:pStyle w:val="Heading2"/>
      </w:pPr>
      <w:r>
        <w:t>6. Workflows</w:t>
      </w:r>
    </w:p>
    <w:p>
      <w:r>
        <w:t>Example: Supplier Response Handling</w:t>
        <w:br/>
        <w:t>1. Negotiation Agent triggers Email Drafting Agent → draft generated.</w:t>
        <w:br/>
        <w:t>2. Supplier Interaction Agent delivers via supplier's channel.</w:t>
        <w:br/>
        <w:t>3. Supplier replies via email/portal/API.</w:t>
        <w:br/>
        <w:t>4. Interaction Agent authenticates and logs response.</w:t>
        <w:br/>
        <w:t>5. Interaction Card created in Review Actions Hub.</w:t>
        <w:br/>
        <w:t>6. If strategic action needed → routed to Negotiation Agent.</w:t>
      </w:r>
    </w:p>
    <w:p>
      <w:pPr>
        <w:pStyle w:val="Heading2"/>
      </w:pPr>
      <w:r>
        <w:t>7. Integration Points</w:t>
      </w:r>
    </w:p>
    <w:p>
      <w:r>
        <w:t>- Negotiation Agent → sends strategy context needing comms.</w:t>
        <w:br/>
        <w:t>- Email Drafting Agent → provides draft message.</w:t>
        <w:br/>
        <w:t>- Approvals Agent → may attach approvals to responses.</w:t>
        <w:br/>
        <w:t>- Review Actions Hub → main UI for interactions.</w:t>
        <w:br/>
        <w:t>- Procurement Knowledge Graph → stores logs.</w:t>
      </w:r>
    </w:p>
    <w:p>
      <w:pPr>
        <w:pStyle w:val="Heading2"/>
      </w:pPr>
      <w:r>
        <w:t>8. Security &amp; Compliance</w:t>
      </w:r>
    </w:p>
    <w:p>
      <w:r>
        <w:t>- All channels encrypted.</w:t>
        <w:br/>
        <w:t>- Supplier identity verified (login/API keys).</w:t>
        <w:br/>
        <w:t>- No anonymous comms allowed.</w:t>
        <w:br/>
        <w:t>- GDPR compliant.</w:t>
        <w:br/>
        <w:t>- Immutable communication logs.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39957-2433-42BE-A5EC-63D976066A5C}"/>
</file>

<file path=customXml/itemProps3.xml><?xml version="1.0" encoding="utf-8"?>
<ds:datastoreItem xmlns:ds="http://schemas.openxmlformats.org/officeDocument/2006/customXml" ds:itemID="{E218D3C1-606C-439B-B74A-12F62CF01AC4}"/>
</file>

<file path=customXml/itemProps4.xml><?xml version="1.0" encoding="utf-8"?>
<ds:datastoreItem xmlns:ds="http://schemas.openxmlformats.org/officeDocument/2006/customXml" ds:itemID="{7D73C991-E171-4A9D-8F31-6D791126F7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