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9631" w14:textId="77777777" w:rsidR="007629FC" w:rsidRDefault="00D846C8">
      <w:pPr>
        <w:pStyle w:val="Heading1"/>
      </w:pPr>
      <w:r>
        <w:t>Discount Policy Definitions for Policy Engine</w:t>
      </w:r>
    </w:p>
    <w:p w14:paraId="21759232" w14:textId="77777777" w:rsidR="007629FC" w:rsidRDefault="00D846C8">
      <w:pPr>
        <w:pStyle w:val="Heading2"/>
      </w:pPr>
      <w:r>
        <w:t>Policy 1: Contract Discount Enforcement Policy</w:t>
      </w:r>
    </w:p>
    <w:p w14:paraId="36764B14" w14:textId="77777777" w:rsidR="007629FC" w:rsidRDefault="00D846C8">
      <w:r>
        <w:t>Trigger:</w:t>
      </w:r>
      <w:r>
        <w:br/>
      </w:r>
      <w:r>
        <w:t>- Invoiced unit price or discount differs from the agreed contractual discount rate by more than 3%.</w:t>
      </w:r>
      <w:r>
        <w:br/>
        <w:t>- Supplier contract is active and discount schedule is defined.</w:t>
      </w:r>
      <w:r>
        <w:br/>
        <w:t>- Invoice is fully paid and falls within the discount agreement period.</w:t>
      </w:r>
      <w:r>
        <w:br/>
      </w:r>
      <w:r>
        <w:br/>
        <w:t>Conditions:</w:t>
      </w:r>
      <w:r>
        <w:br/>
        <w:t>- Applied discount &lt; contracted discount</w:t>
      </w:r>
      <w:r>
        <w:br/>
        <w:t>- Discount variance &gt; 3%</w:t>
      </w:r>
      <w:r>
        <w:br/>
        <w:t>- Invoice volume &gt; 10 units or value &gt; £5,000</w:t>
      </w:r>
      <w:r>
        <w:br/>
      </w:r>
      <w:r>
        <w:br/>
        <w:t>Policy Logic:</w:t>
      </w:r>
      <w:r>
        <w:br/>
        <w:t>- Calculate the variance between actual and contracted discount.</w:t>
      </w:r>
      <w:r>
        <w:br/>
        <w:t>- Score opportunity based on variance % and total financial impact.</w:t>
      </w:r>
      <w:r>
        <w:br/>
        <w:t xml:space="preserve">- </w:t>
      </w:r>
      <w:r>
        <w:t>If opportunity score ≥ 7.0, escalate for supplier engagement.</w:t>
      </w:r>
      <w:r>
        <w:br/>
      </w:r>
      <w:r>
        <w:br/>
        <w:t>Actions:</w:t>
      </w:r>
      <w:r>
        <w:br/>
        <w:t>- Route to Opportunity Miner Agent for scoring and savings estimation.</w:t>
      </w:r>
      <w:r>
        <w:br/>
        <w:t>- If confirmed, escalate to Human-in-the-Loop Agent.</w:t>
      </w:r>
      <w:r>
        <w:br/>
        <w:t>- LLM Drafting Agent to prepare supplier outreach message.</w:t>
      </w:r>
      <w:r>
        <w:br/>
        <w:t>- Audit Trail Agent to record mismatch and resolution status.</w:t>
      </w:r>
    </w:p>
    <w:p w14:paraId="732B109C" w14:textId="77777777" w:rsidR="007629FC" w:rsidRDefault="00D846C8">
      <w:pPr>
        <w:pStyle w:val="Heading2"/>
      </w:pPr>
      <w:r>
        <w:t>Policy 2: Systematic Overpayment Policy</w:t>
      </w:r>
    </w:p>
    <w:p w14:paraId="56292269" w14:textId="77777777" w:rsidR="007629FC" w:rsidRDefault="00D846C8">
      <w:r>
        <w:t>Trigger:</w:t>
      </w:r>
      <w:r>
        <w:br/>
        <w:t>- Repeated price variance between invoiced price and expected price over multiple transactions for the same item or supplier.</w:t>
      </w:r>
      <w:r>
        <w:br/>
      </w:r>
      <w:r>
        <w:br/>
        <w:t>Conditions:</w:t>
      </w:r>
      <w:r>
        <w:br/>
        <w:t>- Minimum 3 matched transactions over past 6 months.</w:t>
      </w:r>
      <w:r>
        <w:br/>
        <w:t>- Invoice price higher than contract or benchmark price by &gt; 5%.</w:t>
      </w:r>
      <w:r>
        <w:br/>
        <w:t>- Cumulative overpayment &gt; £10,000.</w:t>
      </w:r>
      <w:r>
        <w:br/>
      </w:r>
      <w:r>
        <w:br/>
        <w:t>Policy Logic:</w:t>
      </w:r>
      <w:r>
        <w:br/>
        <w:t>- Detect recurring overcharges across invoices or categories.</w:t>
      </w:r>
      <w:r>
        <w:br/>
        <w:t>- Assess whether discrepancies represent supplier behavior pattern.</w:t>
      </w:r>
      <w:r>
        <w:br/>
        <w:t>- Calculate total overpayment and assign opportunity score.</w:t>
      </w:r>
      <w:r>
        <w:br/>
      </w:r>
      <w:r>
        <w:br/>
        <w:t>Actions:</w:t>
      </w:r>
      <w:r>
        <w:br/>
        <w:t>- F</w:t>
      </w:r>
      <w:r>
        <w:t>orward discrepancy to Opportunity Miner Agent and Discrepancy Detection Agent.</w:t>
      </w:r>
      <w:r>
        <w:br/>
      </w:r>
      <w:r>
        <w:lastRenderedPageBreak/>
        <w:t>- Flag pattern in supplier scorecard.</w:t>
      </w:r>
      <w:r>
        <w:br/>
        <w:t>- If score &gt; 8, trigger commercial renegotiation workflow.</w:t>
      </w:r>
      <w:r>
        <w:br/>
        <w:t>- Notify Human-in-the-Loop Agent for validation and intervention.</w:t>
      </w:r>
      <w:r>
        <w:br/>
        <w:t>- Log incident in Audit Trail Agent and attach affected invoices.</w:t>
      </w:r>
    </w:p>
    <w:sectPr w:rsidR="00762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736352">
    <w:abstractNumId w:val="8"/>
  </w:num>
  <w:num w:numId="2" w16cid:durableId="1212958544">
    <w:abstractNumId w:val="6"/>
  </w:num>
  <w:num w:numId="3" w16cid:durableId="1210607835">
    <w:abstractNumId w:val="5"/>
  </w:num>
  <w:num w:numId="4" w16cid:durableId="808593409">
    <w:abstractNumId w:val="4"/>
  </w:num>
  <w:num w:numId="5" w16cid:durableId="817763066">
    <w:abstractNumId w:val="7"/>
  </w:num>
  <w:num w:numId="6" w16cid:durableId="114715564">
    <w:abstractNumId w:val="3"/>
  </w:num>
  <w:num w:numId="7" w16cid:durableId="743261355">
    <w:abstractNumId w:val="2"/>
  </w:num>
  <w:num w:numId="8" w16cid:durableId="188764603">
    <w:abstractNumId w:val="1"/>
  </w:num>
  <w:num w:numId="9" w16cid:durableId="9372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360"/>
    <w:rsid w:val="0012587D"/>
    <w:rsid w:val="0015074B"/>
    <w:rsid w:val="0029639D"/>
    <w:rsid w:val="00326F90"/>
    <w:rsid w:val="007629FC"/>
    <w:rsid w:val="00AA1D8D"/>
    <w:rsid w:val="00B47730"/>
    <w:rsid w:val="00CB0664"/>
    <w:rsid w:val="00D846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5AEC4"/>
  <w14:defaultImageDpi w14:val="300"/>
  <w15:docId w15:val="{E1DB0BC0-2C0E-4103-AE21-BAD27FCE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2415A-FA97-46C9-9ED1-B23A37CE7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4e2ad-90c5-41fd-a998-011aaae8d148"/>
    <ds:schemaRef ds:uri="66e99abc-29ec-44c5-b05d-8ae112ecd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A51D2-5351-4DC5-997F-C11861281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88894-8E68-411B-9E8B-F140FD5623FB}">
  <ds:schemaRefs>
    <ds:schemaRef ds:uri="http://schemas.microsoft.com/office/2006/metadata/properties"/>
    <ds:schemaRef ds:uri="http://schemas.microsoft.com/office/infopath/2007/PartnerControls"/>
    <ds:schemaRef ds:uri="66e99abc-29ec-44c5-b05d-8ae112ecdef3"/>
    <ds:schemaRef ds:uri="7374e2ad-90c5-41fd-a998-011aaae8d1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Geelen</cp:lastModifiedBy>
  <cp:revision>2</cp:revision>
  <dcterms:created xsi:type="dcterms:W3CDTF">2025-07-24T08:48:00Z</dcterms:created>
  <dcterms:modified xsi:type="dcterms:W3CDTF">2025-07-24T08:48:00Z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