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&amp; Privacy Policy: FueledConnect</w:t>
      </w:r>
    </w:p>
    <w:p>
      <w:pPr>
        <w:pStyle w:val="Heading1"/>
      </w:pPr>
      <w:r>
        <w:t>1. Overview</w:t>
      </w:r>
    </w:p>
    <w:p>
      <w:r>
        <w:t>Security and privacy are the foundations of FueledConnect. We recognize that logistics companies handle highly sensitive information, including driver PII, precise GPS coordinates, and proprietary cargo details. Our policy ensures that this data remains confidential, secure, and compliant with global regulations (GDPR, CCPA/CPRA, and industry-specific standards).</w:t>
      </w:r>
    </w:p>
    <w:p>
      <w:pPr>
        <w:pStyle w:val="Heading1"/>
      </w:pPr>
      <w:r>
        <w:t>2. Data Protection &amp; Encryption</w:t>
      </w:r>
    </w:p>
    <w:p>
      <w:r>
        <w:t>FueledConnect employs industry-standard encryption protocols across all layers:</w:t>
      </w:r>
    </w:p>
    <w:p>
      <w:pPr>
        <w:pStyle w:val="ListBullet"/>
      </w:pPr>
      <w:r>
        <w:t>• Data in Transit: All data moving between the mobile app, backend, and third-party APIs (e.g., Claude, S3) is encrypted using TLS 1.3.</w:t>
      </w:r>
    </w:p>
    <w:p>
      <w:pPr>
        <w:pStyle w:val="ListBullet"/>
      </w:pPr>
      <w:r>
        <w:t>• Data at Rest: All sensitive information stored in our databases and object storage is encrypted using AES-256 encryption at the storage level.</w:t>
      </w:r>
    </w:p>
    <w:p>
      <w:pPr>
        <w:pStyle w:val="ListBullet"/>
      </w:pPr>
      <w:r>
        <w:t>• Key Management: We utilize a dedicated Key Management Service (KMS) to rotate and manage encryption keys securely.</w:t>
      </w:r>
    </w:p>
    <w:p>
      <w:pPr>
        <w:pStyle w:val="Heading1"/>
      </w:pPr>
      <w:r>
        <w:t>3. AI Privacy &amp; Model Interaction</w:t>
      </w:r>
    </w:p>
    <w:p>
      <w:r>
        <w:t>As an Intelligence Layer, FueledConnect uses Large Language Models (LLMs) to process field data. We prioritize privacy in these interactions:</w:t>
      </w:r>
    </w:p>
    <w:p>
      <w:pPr>
        <w:pStyle w:val="ListBullet"/>
      </w:pPr>
      <w:r>
        <w:t>• Data Anonymization: Before sending data to external LLM providers (like Anthropic's Claude), we strip Personally Identifiable Information (PII) where possible unless explicitly required for the task.</w:t>
      </w:r>
    </w:p>
    <w:p>
      <w:pPr>
        <w:pStyle w:val="ListBullet"/>
      </w:pPr>
      <w:r>
        <w:t>• Zero-Retention Agreements: We aim to utilize API deployments that do not use customer data to train the provider's foundation models.</w:t>
      </w:r>
    </w:p>
    <w:p>
      <w:pPr>
        <w:pStyle w:val="ListBullet"/>
      </w:pPr>
      <w:r>
        <w:t>• Model Agnosticism: Our ability to switch to local LLMs (e.g., Gemma) allows us to keep data entirely on-premise for clients with extreme security requirements.</w:t>
      </w:r>
    </w:p>
    <w:p>
      <w:pPr>
        <w:pStyle w:val="Heading1"/>
      </w:pPr>
      <w:r>
        <w:t>4. Multi-Tenancy &amp; Data Isolation</w:t>
      </w:r>
    </w:p>
    <w:p>
      <w:r>
        <w:t>FueledConnect is built on a multi-tenant architecture. We ensure strict logical isolation between clients:</w:t>
      </w:r>
    </w:p>
    <w:p>
      <w:pPr>
        <w:pStyle w:val="ListBullet"/>
      </w:pPr>
      <w:r>
        <w:t>• Tenant-Specific Keys: We use separate encryption keys for different customer environments.</w:t>
      </w:r>
    </w:p>
    <w:p>
      <w:pPr>
        <w:pStyle w:val="ListBullet"/>
      </w:pPr>
      <w:r>
        <w:t>• Row-Level Security: Our database schema enforces strict filtering so that Customer A can never access Customer B's data.</w:t>
      </w:r>
    </w:p>
    <w:p>
      <w:pPr>
        <w:pStyle w:val="Heading1"/>
      </w:pPr>
      <w:r>
        <w:t>5. Compliance &amp; Governance</w:t>
      </w:r>
    </w:p>
    <w:p>
      <w:r>
        <w:t>FueledConnect is committed to meeting the regulatory demands of global logistics markets:</w:t>
      </w:r>
    </w:p>
    <w:p>
      <w:pPr>
        <w:pStyle w:val="ListBullet"/>
      </w:pPr>
      <w:r>
        <w:t>• GDPR/CCPA: We provide full data subject access rights, the right to be forgotten, and clear data processing transparency.</w:t>
      </w:r>
    </w:p>
    <w:p>
      <w:pPr>
        <w:pStyle w:val="ListBullet"/>
      </w:pPr>
      <w:r>
        <w:t>• Cold Chain Integrity: For pharmaceutical logistics, we provide audit logs that prove data integrity from capture to final legacy storage.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