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numPr>
          <w:ilvl w:val="3"/>
          <w:numId w:val="2"/>
        </w:numPr>
        <w:bidi w:val="0"/>
        <w:spacing w:before="120" w:after="120"/>
        <w:ind w:hanging="0" w:start="0"/>
        <w:jc w:val="start"/>
        <w:rPr/>
      </w:pPr>
      <w:r>
        <w:rPr>
          <w:color w:val="3465A4"/>
        </w:rPr>
        <w:t>Neural Networks Final Project by Beytullah Paytar – B2280.060064</w:t>
      </w:r>
    </w:p>
    <w:p>
      <w:pPr>
        <w:pStyle w:val="BodyText"/>
        <w:bidi w:val="0"/>
        <w:jc w:val="start"/>
        <w:rPr/>
      </w:pPr>
      <w:r>
        <w:rPr>
          <w:b/>
          <w:bCs/>
          <w:sz w:val="20"/>
          <w:szCs w:val="20"/>
        </w:rPr>
        <w:t xml:space="preserve">Selected Paper: </w:t>
      </w:r>
      <w:r>
        <w:rPr>
          <w:sz w:val="20"/>
          <w:szCs w:val="20"/>
        </w:rPr>
        <w:t>“Machine Learning Based Heart Disease Prediction: A Study for Home Personalized Care”</w:t>
        <w:br/>
      </w:r>
      <w:r>
        <w:rPr>
          <w:b/>
          <w:bCs/>
          <w:sz w:val="20"/>
          <w:szCs w:val="20"/>
        </w:rPr>
        <w:t>Authors:</w:t>
      </w:r>
      <w:r>
        <w:rPr>
          <w:sz w:val="20"/>
          <w:szCs w:val="20"/>
        </w:rPr>
        <w:t xml:space="preserve"> Goutam Kumar Sahoo, Keerthana Kanike, Santos Kumar Das, Poonam Singh</w:t>
        <w:br/>
      </w:r>
      <w:r>
        <w:rPr>
          <w:b/>
          <w:bCs/>
          <w:sz w:val="20"/>
          <w:szCs w:val="20"/>
        </w:rPr>
        <w:t xml:space="preserve">Conference: </w:t>
      </w:r>
      <w:r>
        <w:rPr>
          <w:sz w:val="20"/>
          <w:szCs w:val="20"/>
        </w:rPr>
        <w:t>2022 IEEE 32nd International Workshop on Machine Learning for Signal Processing (MLSP), 22-25 August 2022, Xi'an, China</w:t>
        <w:br/>
      </w:r>
      <w:r>
        <w:rPr>
          <w:b/>
          <w:bCs/>
          <w:sz w:val="20"/>
          <w:szCs w:val="20"/>
        </w:rPr>
        <w:t xml:space="preserve">DOI: </w:t>
      </w:r>
      <w:hyperlink r:id="rId2">
        <w:r>
          <w:rPr>
            <w:rStyle w:val="Hyperlink"/>
            <w:sz w:val="20"/>
            <w:szCs w:val="20"/>
          </w:rPr>
          <w:t>https://doi.org/10.1109/MLSP55214.2022.9943373</w:t>
        </w:r>
      </w:hyperlink>
      <w:r>
        <w:rPr>
          <w:sz w:val="20"/>
          <w:szCs w:val="20"/>
        </w:rPr>
        <w:br/>
      </w:r>
      <w:r>
        <w:rPr>
          <w:b/>
          <w:bCs/>
          <w:sz w:val="20"/>
          <w:szCs w:val="20"/>
        </w:rPr>
        <w:t xml:space="preserve">Link: </w:t>
      </w:r>
      <w:hyperlink r:id="rId3">
        <w:r>
          <w:rPr>
            <w:rStyle w:val="Hyperlink"/>
            <w:sz w:val="20"/>
            <w:szCs w:val="20"/>
          </w:rPr>
          <w:t>https://ieeexplore.ieee.org/document/9943373</w:t>
        </w:r>
      </w:hyperlink>
    </w:p>
    <w:p>
      <w:pPr>
        <w:pStyle w:val="BodyText"/>
        <w:bidi w:val="0"/>
        <w:jc w:val="start"/>
        <w:rPr/>
      </w:pPr>
      <w:r>
        <w:rPr/>
        <w:br/>
      </w:r>
      <w:r>
        <w:rPr>
          <w:b/>
          <w:bCs/>
        </w:rPr>
        <w:t>Method Summary and Model Description</w:t>
      </w:r>
    </w:p>
    <w:p>
      <w:pPr>
        <w:pStyle w:val="BodyText"/>
        <w:bidi w:val="0"/>
        <w:jc w:val="start"/>
        <w:rPr/>
      </w:pPr>
      <w:r>
        <w:rPr/>
        <w:t>This paper proposes a framework for an "At-Home Personalized Care System" designed to predict the risk of cardiovascular disease (CVD) using patient physiological data. The methodology follows a standard data mining pipeline:</w:t>
      </w:r>
    </w:p>
    <w:p>
      <w:pPr>
        <w:pStyle w:val="BodyText"/>
        <w:numPr>
          <w:ilvl w:val="0"/>
          <w:numId w:val="3"/>
        </w:numPr>
        <w:bidi w:val="0"/>
        <w:jc w:val="start"/>
        <w:rPr/>
      </w:pPr>
      <w:r>
        <w:rPr/>
        <w:t>Data Acquisition: Collecting patient vitals and medical history.</w:t>
      </w:r>
    </w:p>
    <w:p>
      <w:pPr>
        <w:pStyle w:val="BodyText"/>
        <w:numPr>
          <w:ilvl w:val="0"/>
          <w:numId w:val="3"/>
        </w:numPr>
        <w:bidi w:val="0"/>
        <w:jc w:val="start"/>
        <w:rPr/>
      </w:pPr>
      <w:r>
        <w:rPr/>
        <w:t>Preprocessing: Handling missing values and normalizing numerical features.</w:t>
      </w:r>
    </w:p>
    <w:p>
      <w:pPr>
        <w:pStyle w:val="BodyText"/>
        <w:numPr>
          <w:ilvl w:val="0"/>
          <w:numId w:val="3"/>
        </w:numPr>
        <w:bidi w:val="0"/>
        <w:jc w:val="start"/>
        <w:rPr/>
      </w:pPr>
      <w:r>
        <w:rPr/>
        <w:t>Exploratory Data Analysis (EDA): Visualizing feature distributions to understand risk factors.</w:t>
      </w:r>
    </w:p>
    <w:p>
      <w:pPr>
        <w:pStyle w:val="BodyText"/>
        <w:numPr>
          <w:ilvl w:val="0"/>
          <w:numId w:val="3"/>
        </w:numPr>
        <w:bidi w:val="0"/>
        <w:jc w:val="start"/>
        <w:rPr/>
      </w:pPr>
      <w:r>
        <w:rPr/>
        <w:t>Modeling: Training multiple supervised machine learning classifiers to distinguish between healthy patients and those with heart disease.</w:t>
      </w:r>
    </w:p>
    <w:p>
      <w:pPr>
        <w:pStyle w:val="BodyText"/>
        <w:numPr>
          <w:ilvl w:val="0"/>
          <w:numId w:val="3"/>
        </w:numPr>
        <w:bidi w:val="0"/>
        <w:jc w:val="start"/>
        <w:rPr/>
      </w:pPr>
      <w:r>
        <w:rPr/>
        <w:t>Evaluation: Comparing models based on Accuracy, Precision, Recall, and F1-Score to identify the most reliable algorithm for deployment.</w:t>
      </w:r>
    </w:p>
    <w:p>
      <w:pPr>
        <w:pStyle w:val="BodyText"/>
        <w:bidi w:val="0"/>
        <w:jc w:val="start"/>
        <w:rPr/>
      </w:pPr>
      <w:r>
        <w:rPr>
          <w:b/>
          <w:bCs/>
        </w:rPr>
        <w:t>Model &amp; Algorithm Description:</w:t>
      </w:r>
      <w:r>
        <w:rPr/>
        <w:t xml:space="preserve"> To ensure a comprehensive reproduction and comparison, this project implemented the same seven supervised learning algorithms used in the original study:</w:t>
      </w:r>
    </w:p>
    <w:p>
      <w:pPr>
        <w:pStyle w:val="BodyText"/>
        <w:numPr>
          <w:ilvl w:val="0"/>
          <w:numId w:val="4"/>
        </w:numPr>
        <w:bidi w:val="0"/>
        <w:jc w:val="start"/>
        <w:rPr/>
      </w:pPr>
      <w:r>
        <w:rPr>
          <w:b/>
          <w:bCs/>
        </w:rPr>
        <w:t>Logistic Regression (LR):</w:t>
      </w:r>
      <w:r>
        <w:rPr/>
        <w:t xml:space="preserve"> A linear model that estimates the probability of a binary outcome using the logistic function.</w:t>
      </w:r>
    </w:p>
    <w:p>
      <w:pPr>
        <w:pStyle w:val="BodyText"/>
        <w:numPr>
          <w:ilvl w:val="0"/>
          <w:numId w:val="4"/>
        </w:numPr>
        <w:bidi w:val="0"/>
        <w:jc w:val="start"/>
        <w:rPr/>
      </w:pPr>
      <w:r>
        <w:rPr>
          <w:b/>
          <w:bCs/>
        </w:rPr>
        <w:t xml:space="preserve">K-Nearest Neighbor (KNN): </w:t>
      </w:r>
      <w:r>
        <w:rPr/>
        <w:t>A non-parametric method that classifies a sample based on the majority class of its k closest neighbors in the feature space.</w:t>
      </w:r>
    </w:p>
    <w:p>
      <w:pPr>
        <w:pStyle w:val="BodyText"/>
        <w:numPr>
          <w:ilvl w:val="0"/>
          <w:numId w:val="4"/>
        </w:numPr>
        <w:bidi w:val="0"/>
        <w:jc w:val="start"/>
        <w:rPr/>
      </w:pPr>
      <w:r>
        <w:rPr>
          <w:b/>
          <w:bCs/>
        </w:rPr>
        <w:t>Support Vector Machine (SVM):</w:t>
      </w:r>
      <w:r>
        <w:rPr/>
        <w:t xml:space="preserve"> Finds the optimal hyperplane that separates data points of different classes with the maximum margin.</w:t>
      </w:r>
    </w:p>
    <w:p>
      <w:pPr>
        <w:pStyle w:val="BodyText"/>
        <w:numPr>
          <w:ilvl w:val="0"/>
          <w:numId w:val="4"/>
        </w:numPr>
        <w:bidi w:val="0"/>
        <w:jc w:val="start"/>
        <w:rPr/>
      </w:pPr>
      <w:r>
        <w:rPr>
          <w:b/>
          <w:bCs/>
        </w:rPr>
        <w:t xml:space="preserve">Naive Bayes (NB): </w:t>
      </w:r>
      <w:r>
        <w:rPr/>
        <w:t>A probabilistic classifier based on Bayes' theorem, assuming strong (naive) independence between features.</w:t>
      </w:r>
    </w:p>
    <w:p>
      <w:pPr>
        <w:pStyle w:val="BodyText"/>
        <w:numPr>
          <w:ilvl w:val="0"/>
          <w:numId w:val="4"/>
        </w:numPr>
        <w:bidi w:val="0"/>
        <w:jc w:val="start"/>
        <w:rPr/>
      </w:pPr>
      <w:r>
        <w:rPr>
          <w:b/>
          <w:bCs/>
        </w:rPr>
        <w:t>Decision Tree (DT):</w:t>
      </w:r>
      <w:r>
        <w:rPr/>
        <w:t xml:space="preserve"> A tree-structured model that splits data into branches based on feature values to reach a decision.</w:t>
      </w:r>
    </w:p>
    <w:p>
      <w:pPr>
        <w:pStyle w:val="BodyText"/>
        <w:numPr>
          <w:ilvl w:val="0"/>
          <w:numId w:val="4"/>
        </w:numPr>
        <w:bidi w:val="0"/>
        <w:jc w:val="start"/>
        <w:rPr/>
      </w:pPr>
      <w:r>
        <w:rPr>
          <w:b/>
          <w:bCs/>
        </w:rPr>
        <w:t xml:space="preserve">Random Forest (RF): </w:t>
      </w:r>
      <w:r>
        <w:rPr/>
        <w:t>An ensemble learning method that constructs multiple decision trees during training and outputs the mode of the classes (classification) to reduce overfitting.</w:t>
      </w:r>
    </w:p>
    <w:p>
      <w:pPr>
        <w:pStyle w:val="BodyText"/>
        <w:numPr>
          <w:ilvl w:val="0"/>
          <w:numId w:val="4"/>
        </w:numPr>
        <w:bidi w:val="0"/>
        <w:jc w:val="start"/>
        <w:rPr/>
      </w:pPr>
      <w:r>
        <w:rPr>
          <w:b/>
          <w:bCs/>
        </w:rPr>
        <w:t xml:space="preserve">eXtreme Gradient Boosting (XGBoost): </w:t>
      </w:r>
      <w:r>
        <w:rPr/>
        <w:t>An advanced gradient boosting library designed for speed and performance, which builds an ensemble of weak prediction models (typically decision trees).</w:t>
      </w:r>
    </w:p>
    <w:p>
      <w:pPr>
        <w:pStyle w:val="BodyText"/>
        <w:bidi w:val="0"/>
        <w:jc w:val="start"/>
        <w:rPr/>
      </w:pPr>
      <w:r>
        <w:rPr/>
      </w:r>
    </w:p>
    <w:p>
      <w:pPr>
        <w:pStyle w:val="BodyText"/>
        <w:bidi w:val="0"/>
        <w:jc w:val="start"/>
        <w:rPr>
          <w:b/>
          <w:bCs/>
        </w:rPr>
      </w:pPr>
      <w:r>
        <w:rPr>
          <w:b/>
          <w:bCs/>
        </w:rPr>
        <w:t>Dataset Description</w:t>
      </w:r>
    </w:p>
    <w:p>
      <w:pPr>
        <w:pStyle w:val="BodyText"/>
        <w:bidi w:val="0"/>
        <w:jc w:val="start"/>
        <w:rPr/>
      </w:pPr>
      <w:r>
        <w:rPr/>
        <w:t>This study utilizes two primary data sources to reproduce the original paper's findings and test real-world generalization:</w:t>
      </w:r>
    </w:p>
    <w:p>
      <w:pPr>
        <w:pStyle w:val="BodyText"/>
        <w:bidi w:val="0"/>
        <w:jc w:val="start"/>
        <w:rPr/>
      </w:pPr>
      <w:r>
        <w:rPr>
          <w:b/>
          <w:bCs/>
        </w:rPr>
        <w:t xml:space="preserve">1. UCI Machine Learning Repository – Cleveland Heart Diseases Dataset: </w:t>
      </w:r>
      <w:r>
        <w:rPr/>
        <w:t>The original paper relies on the UCI Cleveland Heart Disease dataset (303 records).</w:t>
      </w:r>
    </w:p>
    <w:p>
      <w:pPr>
        <w:pStyle w:val="BodyText"/>
        <w:bidi w:val="0"/>
        <w:jc w:val="start"/>
        <w:rPr/>
      </w:pPr>
      <w:r>
        <w:rPr/>
        <w:t xml:space="preserve">Link: </w:t>
      </w:r>
      <w:hyperlink r:id="rId4">
        <w:r>
          <w:rPr>
            <w:rStyle w:val="Hyperlink"/>
          </w:rPr>
          <w:t>https://archive.ics.uci.edu/dataset/45/heart+disease</w:t>
        </w:r>
      </w:hyperlink>
    </w:p>
    <w:p>
      <w:pPr>
        <w:pStyle w:val="BodyText"/>
        <w:bidi w:val="0"/>
        <w:jc w:val="start"/>
        <w:rPr/>
      </w:pPr>
      <w:r>
        <w:rPr>
          <w:b/>
          <w:bCs/>
        </w:rPr>
        <w:t>Features:</w:t>
      </w:r>
      <w:r>
        <w:rPr/>
        <w:t xml:space="preserve"> It contains 13 clinical attributes: Age, Sex, Chest Pain Type (cp), Resting Blood Pressure (trestbps), Cholesterol (chol), Fasting Blood Sugar (fbs), Resting Electrocardiogram (restecg), Max Heart Rate (thalach), Exercise Angina (exang), ST Depression (oldpeak), Slope (slope), plus Number of Major Vessels (ca) and Thalassemia (thal).</w:t>
      </w:r>
    </w:p>
    <w:p>
      <w:pPr>
        <w:pStyle w:val="BodyText"/>
        <w:bidi w:val="0"/>
        <w:jc w:val="start"/>
        <w:rPr/>
      </w:pPr>
      <w:r>
        <w:rPr>
          <w:b/>
          <w:bCs/>
        </w:rPr>
        <w:t>Target:</w:t>
      </w:r>
      <w:r>
        <w:rPr/>
        <w:t xml:space="preserve"> Binary classification (0 = Healthy, 1 = Heart Disease).</w:t>
      </w:r>
    </w:p>
    <w:p>
      <w:pPr>
        <w:pStyle w:val="BodyText"/>
        <w:bidi w:val="0"/>
        <w:jc w:val="start"/>
        <w:rPr/>
      </w:pPr>
      <w:r>
        <w:rPr>
          <w:b/>
          <w:bCs/>
        </w:rPr>
        <w:t>2. UCI Machine Learning Repository – Hungarian Heart Disease Dataset:</w:t>
      </w:r>
      <w:r>
        <w:rPr/>
        <w:t xml:space="preserve"> In the paper's introduction, the authors cite the work of Bhatt et al., who achieved an accuracy of 82.3% using the Hungarian dataset. To evaluate these claims and test the performance of my own models against these historical benchmarks, I included the Hungarian data (also from the UCI repository) in my experimental loop. This allowed me to analyze how different classification techniques respond to different data distributions and quality levels.</w:t>
      </w:r>
    </w:p>
    <w:p>
      <w:pPr>
        <w:pStyle w:val="BodyText"/>
        <w:bidi w:val="0"/>
        <w:jc w:val="start"/>
        <w:rPr>
          <w:b/>
          <w:bCs/>
        </w:rPr>
      </w:pPr>
      <w:r>
        <w:rPr>
          <w:b/>
          <w:bCs/>
        </w:rPr>
        <w:t xml:space="preserve">3. Kaggle – Heart Disease Dataset (Comprehensive): </w:t>
      </w:r>
      <w:r>
        <w:rPr>
          <w:b w:val="false"/>
          <w:bCs w:val="false"/>
        </w:rPr>
        <w:t>To test the model on a larger scale, I utilized the Heart Statlog Cleveland Hungary Final dataset from Kaggle (1,190 records).</w:t>
      </w:r>
    </w:p>
    <w:p>
      <w:pPr>
        <w:pStyle w:val="BodyText"/>
        <w:bidi w:val="0"/>
        <w:jc w:val="start"/>
        <w:rPr>
          <w:b/>
          <w:bCs/>
        </w:rPr>
      </w:pPr>
      <w:r>
        <w:rPr>
          <w:b w:val="false"/>
          <w:bCs w:val="false"/>
        </w:rPr>
        <w:t xml:space="preserve">Link: </w:t>
      </w:r>
      <w:hyperlink r:id="rId5">
        <w:r>
          <w:rPr>
            <w:rStyle w:val="Hyperlink"/>
            <w:b w:val="false"/>
            <w:bCs w:val="false"/>
          </w:rPr>
          <w:t>https://www.kaggle.com/datasets/sid321axn/heart-statlog-cleveland-hungary-final</w:t>
        </w:r>
      </w:hyperlink>
    </w:p>
    <w:p>
      <w:pPr>
        <w:pStyle w:val="BodyText"/>
        <w:bidi w:val="0"/>
        <w:jc w:val="start"/>
        <w:rPr>
          <w:b/>
          <w:bCs/>
        </w:rPr>
      </w:pPr>
      <w:r>
        <w:rPr>
          <w:b w:val="false"/>
          <w:bCs w:val="false"/>
        </w:rPr>
        <w:t>This dataset contains data from multiple international sources, including Cleveland (Cleveland, Hungary, Switzerland, Long Beach VA, Stalog (Heart) Data Set). It shares the same features as the Cleveland dataset, but excludes plus Number of Major Vessels (ca) and Thalassemia (thal).</w:t>
      </w:r>
    </w:p>
    <w:p>
      <w:pPr>
        <w:pStyle w:val="BodyText"/>
        <w:bidi w:val="0"/>
        <w:jc w:val="start"/>
        <w:rPr>
          <w:b/>
          <w:bCs/>
        </w:rPr>
      </w:pPr>
      <w:r>
        <w:rPr>
          <w:b/>
          <w:bCs/>
        </w:rPr>
        <w:t>Preprocessing:</w:t>
      </w:r>
    </w:p>
    <w:p>
      <w:pPr>
        <w:pStyle w:val="BodyText"/>
        <w:bidi w:val="0"/>
        <w:jc w:val="start"/>
        <w:rPr>
          <w:b w:val="false"/>
          <w:bCs w:val="false"/>
        </w:rPr>
      </w:pPr>
      <w:r>
        <w:rPr>
          <w:b w:val="false"/>
          <w:bCs w:val="false"/>
        </w:rPr>
        <w:t>To provide a comprehensive evaluation of the proposed method, I implemented a code that generated six dataset variations.</w:t>
      </w:r>
    </w:p>
    <w:p>
      <w:pPr>
        <w:pStyle w:val="BodyText"/>
        <w:bidi w:val="0"/>
        <w:jc w:val="start"/>
        <w:rPr>
          <w:b w:val="false"/>
          <w:bCs w:val="false"/>
        </w:rPr>
      </w:pPr>
      <w:r>
        <w:rPr>
          <w:b/>
          <w:bCs/>
        </w:rPr>
        <w:t>1. Data Cleaning &amp; Variations:</w:t>
      </w:r>
      <w:r>
        <w:rPr>
          <w:b w:val="false"/>
          <w:bCs w:val="false"/>
        </w:rPr>
        <w:t xml:space="preserve"> The following six variations were prepared to isolate specific data quality issues and benchmarking goals:</w:t>
      </w:r>
    </w:p>
    <w:p>
      <w:pPr>
        <w:pStyle w:val="BodyText"/>
        <w:bidi w:val="0"/>
        <w:jc w:val="start"/>
        <w:rPr>
          <w:b w:val="false"/>
          <w:bCs w:val="false"/>
        </w:rPr>
      </w:pPr>
      <w:r>
        <w:rPr>
          <w:b/>
          <w:bCs/>
        </w:rPr>
        <w:t xml:space="preserve">D1: Hungarian (All dropped): </w:t>
      </w:r>
      <w:r>
        <w:rPr>
          <w:b w:val="false"/>
          <w:bCs w:val="false"/>
        </w:rPr>
        <w:t>In this version, the “ca” and “thal” columns were removed due to excessive missingness (almost all of it were “?”). Any remaining rows with missing values were dropped. (The worst one so far.)</w:t>
      </w:r>
    </w:p>
    <w:p>
      <w:pPr>
        <w:pStyle w:val="BodyText"/>
        <w:bidi w:val="0"/>
        <w:jc w:val="start"/>
        <w:rPr>
          <w:b w:val="false"/>
          <w:bCs w:val="false"/>
        </w:rPr>
      </w:pPr>
      <w:r>
        <w:rPr>
          <w:b/>
          <w:bCs/>
        </w:rPr>
        <w:t>D2: Hungarian (Dropped Columns + Imputation):</w:t>
      </w:r>
      <w:r>
        <w:rPr>
          <w:b w:val="false"/>
          <w:bCs w:val="false"/>
        </w:rPr>
        <w:t xml:space="preserve"> The “ca” and “thal” columns were still dropped, but missing values in the remaining 11 columns were filled using Mean Imputation (SimpleImputer). This tests if retaining patient records (via imputation) outweighs the noise of estimated values.</w:t>
      </w:r>
    </w:p>
    <w:p>
      <w:pPr>
        <w:pStyle w:val="BodyText"/>
        <w:bidi w:val="0"/>
        <w:jc w:val="start"/>
        <w:rPr>
          <w:b w:val="false"/>
          <w:bCs w:val="false"/>
        </w:rPr>
      </w:pPr>
      <w:r>
        <w:rPr>
          <w:b/>
          <w:bCs/>
        </w:rPr>
        <w:t xml:space="preserve">D3: Hungarian (All Imputation): </w:t>
      </w:r>
      <w:r>
        <w:rPr>
          <w:b w:val="false"/>
          <w:bCs w:val="false"/>
        </w:rPr>
        <w:t>The “ca” and “thal” columns were kept this time, and their extensive missing values were filled with the mean. This experiment tests the hypothesis that these specific features are so biologically significant that even a weak (imputed) signal improves model performance. (Which greatly did.)</w:t>
      </w:r>
    </w:p>
    <w:p>
      <w:pPr>
        <w:pStyle w:val="BodyText"/>
        <w:bidi w:val="0"/>
        <w:jc w:val="start"/>
        <w:rPr>
          <w:b w:val="false"/>
          <w:bCs w:val="false"/>
        </w:rPr>
      </w:pPr>
      <w:r>
        <w:rPr>
          <w:b/>
          <w:bCs/>
        </w:rPr>
        <w:t xml:space="preserve">D4: Cleveland (Dropped “ca” and “thal” columns): </w:t>
      </w:r>
      <w:r>
        <w:rPr>
          <w:b w:val="false"/>
          <w:bCs w:val="false"/>
        </w:rPr>
        <w:t>The “ca” and “thal” columns were voluntarily dropped from the clean Cleveland dataset. This reduces the feature count to 11, enabling a fair comparison with the Hungarian D1/D2 datasets, and the Kaggle dataset.</w:t>
      </w:r>
    </w:p>
    <w:p>
      <w:pPr>
        <w:pStyle w:val="BodyText"/>
        <w:bidi w:val="0"/>
        <w:jc w:val="start"/>
        <w:rPr>
          <w:b w:val="false"/>
          <w:bCs w:val="false"/>
        </w:rPr>
      </w:pPr>
      <w:r>
        <w:rPr>
          <w:b/>
          <w:bCs/>
        </w:rPr>
        <w:t>D5: Cleveland (Normal):</w:t>
      </w:r>
      <w:r>
        <w:rPr>
          <w:b w:val="false"/>
          <w:bCs w:val="false"/>
        </w:rPr>
        <w:t xml:space="preserve"> No columns were dropped. Only rows with missing values (“?”) were removed. This dataset (13 features) is the version used in the IEEE paper, serving as the ground truth for validating my results against the authors' claims.</w:t>
      </w:r>
    </w:p>
    <w:p>
      <w:pPr>
        <w:pStyle w:val="BodyText"/>
        <w:bidi w:val="0"/>
        <w:jc w:val="start"/>
        <w:rPr>
          <w:b w:val="false"/>
          <w:bCs w:val="false"/>
        </w:rPr>
      </w:pPr>
      <w:r>
        <w:rPr>
          <w:b/>
          <w:bCs/>
        </w:rPr>
        <w:t>D6: Kaggle:</w:t>
      </w:r>
      <w:r>
        <w:rPr>
          <w:b w:val="false"/>
          <w:bCs w:val="false"/>
        </w:rPr>
        <w:t xml:space="preserve"> Column names were standardized to match the UCI format. Unlike the raw datasets, this version’s targets were already binary, requiring no additional transformation.</w:t>
      </w:r>
    </w:p>
    <w:p>
      <w:pPr>
        <w:pStyle w:val="BodyText"/>
        <w:bidi w:val="0"/>
        <w:jc w:val="start"/>
        <w:rPr>
          <w:b w:val="false"/>
          <w:bCs w:val="false"/>
        </w:rPr>
      </w:pPr>
      <w:r>
        <w:rPr>
          <w:b/>
          <w:bCs/>
        </w:rPr>
        <w:t>2. Normalization:</w:t>
      </w:r>
      <w:r>
        <w:rPr>
          <w:b w:val="false"/>
          <w:bCs w:val="false"/>
        </w:rPr>
        <w:t xml:space="preserve"> Because different features use different units (e.g., Age in years vs. Cholesterol in mg/dl), I applied Standard Scaling. This process adjusts all numerical values so they share a common scale without distorting the differences in the ranges of values. This is essential for models like KNN and SVM, which rely on calculating distances between data points.</w:t>
      </w:r>
    </w:p>
    <w:p>
      <w:pPr>
        <w:pStyle w:val="BodyText"/>
        <w:bidi w:val="0"/>
        <w:jc w:val="start"/>
        <w:rPr>
          <w:b w:val="false"/>
          <w:bCs w:val="false"/>
        </w:rPr>
      </w:pPr>
      <w:r>
        <w:rPr>
          <w:b/>
          <w:bCs/>
        </w:rPr>
        <w:t>3. Target Encoding:</w:t>
      </w:r>
      <w:r>
        <w:rPr>
          <w:b w:val="false"/>
          <w:bCs w:val="false"/>
        </w:rPr>
        <w:t xml:space="preserve"> The original UCI datasets (Cleveland and Hungarian) define the target variable with integer values from 0 (Healthy) to 4 (Severe Disease). However, the referenced IEEE paper treats the problem as a binary classification task (Healthy vs. Diseased). So, I applied a transformation function (lambda x: 1 if x &gt; 0 else 0) to map all disease presence indicators (values 1–4) to a single positive class (1), while keeping 0 as the negative class.</w:t>
      </w:r>
    </w:p>
    <w:p>
      <w:pPr>
        <w:pStyle w:val="BodyText"/>
        <w:bidi w:val="0"/>
        <w:jc w:val="start"/>
        <w:rPr>
          <w:b/>
          <w:bCs/>
        </w:rPr>
      </w:pPr>
      <w:r>
        <w:rPr>
          <w:b/>
          <w:bCs/>
        </w:rPr>
        <w:t>Implementation Details</w:t>
      </w:r>
    </w:p>
    <w:p>
      <w:pPr>
        <w:pStyle w:val="BodyText"/>
        <w:bidi w:val="0"/>
        <w:jc w:val="start"/>
        <w:rPr>
          <w:b/>
          <w:bCs/>
        </w:rPr>
      </w:pPr>
      <w:r>
        <w:rPr>
          <w:b/>
          <w:bCs/>
        </w:rPr>
        <w:t>1. Hardware:</w:t>
      </w:r>
    </w:p>
    <w:p>
      <w:pPr>
        <w:pStyle w:val="BodyText"/>
        <w:bidi w:val="0"/>
        <w:jc w:val="start"/>
        <w:rPr>
          <w:b w:val="false"/>
          <w:bCs w:val="false"/>
        </w:rPr>
      </w:pPr>
      <w:r>
        <w:rPr>
          <w:b/>
          <w:bCs/>
        </w:rPr>
        <w:t xml:space="preserve">Computer: </w:t>
      </w:r>
      <w:r>
        <w:rPr>
          <w:b w:val="false"/>
          <w:bCs w:val="false"/>
        </w:rPr>
        <w:t xml:space="preserve">Casper Excalibur G770 Gaming Laptop, </w:t>
      </w:r>
      <w:r>
        <w:rPr>
          <w:b/>
          <w:bCs/>
        </w:rPr>
        <w:t xml:space="preserve">OS: </w:t>
      </w:r>
      <w:r>
        <w:rPr>
          <w:b w:val="false"/>
          <w:bCs w:val="false"/>
        </w:rPr>
        <w:t xml:space="preserve">Ubuntu Linux 24.04.3 LTS, </w:t>
      </w:r>
      <w:r>
        <w:rPr>
          <w:b/>
          <w:bCs/>
        </w:rPr>
        <w:t xml:space="preserve">CPU: </w:t>
      </w:r>
      <w:r>
        <w:rPr>
          <w:b w:val="false"/>
          <w:bCs w:val="false"/>
        </w:rPr>
        <w:t xml:space="preserve">Intel® Core™ i7-12650H, </w:t>
      </w:r>
      <w:r>
        <w:rPr>
          <w:b/>
          <w:bCs/>
        </w:rPr>
        <w:t xml:space="preserve">Memory: </w:t>
      </w:r>
      <w:r>
        <w:rPr>
          <w:b w:val="false"/>
          <w:bCs w:val="false"/>
        </w:rPr>
        <w:t xml:space="preserve">16 GB RAM, </w:t>
      </w:r>
      <w:r>
        <w:rPr>
          <w:b/>
          <w:bCs/>
        </w:rPr>
        <w:t>GPU:</w:t>
      </w:r>
      <w:r>
        <w:rPr>
          <w:b w:val="false"/>
          <w:bCs w:val="false"/>
        </w:rPr>
        <w:t xml:space="preserve"> NVIDIA GeForce RTX 3050 Mobile (4GB VRAM), </w:t>
      </w:r>
      <w:r>
        <w:rPr>
          <w:b/>
          <w:bCs/>
        </w:rPr>
        <w:t xml:space="preserve">IDE: </w:t>
      </w:r>
      <w:r>
        <w:rPr>
          <w:b w:val="false"/>
          <w:bCs w:val="false"/>
        </w:rPr>
        <w:t xml:space="preserve">PyCharm Professional Edition, </w:t>
      </w:r>
      <w:r>
        <w:rPr>
          <w:b/>
          <w:bCs/>
        </w:rPr>
        <w:t>Python Version:</w:t>
      </w:r>
      <w:r>
        <w:rPr>
          <w:b w:val="false"/>
          <w:bCs w:val="false"/>
        </w:rPr>
        <w:t xml:space="preserve"> 3.12</w:t>
      </w:r>
    </w:p>
    <w:p>
      <w:pPr>
        <w:pStyle w:val="BodyText"/>
        <w:bidi w:val="0"/>
        <w:jc w:val="start"/>
        <w:rPr>
          <w:b/>
          <w:bCs/>
        </w:rPr>
      </w:pPr>
      <w:r>
        <w:rPr>
          <w:b/>
          <w:bCs/>
        </w:rPr>
        <w:t>2. Libraries and Dependencies:</w:t>
      </w:r>
    </w:p>
    <w:p>
      <w:pPr>
        <w:pStyle w:val="BodyText"/>
        <w:bidi w:val="0"/>
        <w:jc w:val="start"/>
        <w:rPr>
          <w:b w:val="false"/>
          <w:bCs w:val="false"/>
        </w:rPr>
      </w:pPr>
      <w:r>
        <w:rPr>
          <w:b w:val="false"/>
          <w:bCs w:val="false"/>
        </w:rPr>
        <w:t>The project’s libraries are managed via a “requirements.txt” file.</w:t>
      </w:r>
    </w:p>
    <w:p>
      <w:pPr>
        <w:pStyle w:val="BodyText"/>
        <w:numPr>
          <w:ilvl w:val="0"/>
          <w:numId w:val="5"/>
        </w:numPr>
        <w:bidi w:val="0"/>
        <w:jc w:val="start"/>
        <w:rPr>
          <w:b w:val="false"/>
          <w:bCs w:val="false"/>
        </w:rPr>
      </w:pPr>
      <w:r>
        <w:rPr>
          <w:b/>
          <w:bCs/>
        </w:rPr>
        <w:t xml:space="preserve">pandas &amp; numpy: </w:t>
      </w:r>
      <w:r>
        <w:rPr>
          <w:b w:val="false"/>
          <w:bCs w:val="false"/>
        </w:rPr>
        <w:t>For structured data manipulation and numerical operations.</w:t>
      </w:r>
    </w:p>
    <w:p>
      <w:pPr>
        <w:pStyle w:val="BodyText"/>
        <w:numPr>
          <w:ilvl w:val="0"/>
          <w:numId w:val="5"/>
        </w:numPr>
        <w:bidi w:val="0"/>
        <w:jc w:val="start"/>
        <w:rPr>
          <w:b w:val="false"/>
          <w:bCs w:val="false"/>
        </w:rPr>
      </w:pPr>
      <w:r>
        <w:rPr>
          <w:b/>
          <w:bCs/>
        </w:rPr>
        <w:t>scikit-learn:</w:t>
      </w:r>
      <w:r>
        <w:rPr>
          <w:b w:val="false"/>
          <w:bCs w:val="false"/>
        </w:rPr>
        <w:t xml:space="preserve"> The primary framework for model implementation, data splitting, and metrics calculation.</w:t>
      </w:r>
    </w:p>
    <w:p>
      <w:pPr>
        <w:pStyle w:val="BodyText"/>
        <w:numPr>
          <w:ilvl w:val="0"/>
          <w:numId w:val="5"/>
        </w:numPr>
        <w:bidi w:val="0"/>
        <w:jc w:val="start"/>
        <w:rPr>
          <w:b w:val="false"/>
          <w:bCs w:val="false"/>
        </w:rPr>
      </w:pPr>
      <w:r>
        <w:rPr>
          <w:b/>
          <w:bCs/>
        </w:rPr>
        <w:t xml:space="preserve">xgboost: </w:t>
      </w:r>
      <w:r>
        <w:rPr>
          <w:b w:val="false"/>
          <w:bCs w:val="false"/>
        </w:rPr>
        <w:t>Used for the eXtreme Gradient Boosting classifier.</w:t>
      </w:r>
    </w:p>
    <w:p>
      <w:pPr>
        <w:pStyle w:val="BodyText"/>
        <w:numPr>
          <w:ilvl w:val="0"/>
          <w:numId w:val="5"/>
        </w:numPr>
        <w:bidi w:val="0"/>
        <w:jc w:val="start"/>
        <w:rPr>
          <w:b w:val="false"/>
          <w:bCs w:val="false"/>
        </w:rPr>
      </w:pPr>
      <w:r>
        <w:rPr>
          <w:b/>
          <w:bCs/>
        </w:rPr>
        <w:t xml:space="preserve">seaborn &amp; matplotlib: </w:t>
      </w:r>
      <w:r>
        <w:rPr>
          <w:b w:val="false"/>
          <w:bCs w:val="false"/>
        </w:rPr>
        <w:t>Used for generating high-resolution Confusion Matrices and Learning Curves.</w:t>
      </w:r>
    </w:p>
    <w:p>
      <w:pPr>
        <w:pStyle w:val="BodyText"/>
        <w:numPr>
          <w:ilvl w:val="0"/>
          <w:numId w:val="5"/>
        </w:numPr>
        <w:bidi w:val="0"/>
        <w:jc w:val="start"/>
        <w:rPr>
          <w:b w:val="false"/>
          <w:bCs w:val="false"/>
        </w:rPr>
      </w:pPr>
      <w:r>
        <w:rPr>
          <w:b/>
          <w:bCs/>
        </w:rPr>
        <w:t xml:space="preserve">ucimlrepo: </w:t>
      </w:r>
      <w:r>
        <w:rPr>
          <w:b w:val="false"/>
          <w:bCs w:val="false"/>
        </w:rPr>
        <w:t>Used to programmatically fetch the most recent versions of the UCI datasets.</w:t>
      </w:r>
    </w:p>
    <w:p>
      <w:pPr>
        <w:pStyle w:val="BodyText"/>
        <w:numPr>
          <w:ilvl w:val="0"/>
          <w:numId w:val="5"/>
        </w:numPr>
        <w:bidi w:val="0"/>
        <w:jc w:val="start"/>
        <w:rPr>
          <w:b w:val="false"/>
          <w:bCs w:val="false"/>
        </w:rPr>
      </w:pPr>
      <w:r>
        <w:rPr>
          <w:b/>
          <w:bCs/>
        </w:rPr>
        <w:t>flask &amp; flask-cors:</w:t>
      </w:r>
      <w:r>
        <w:rPr>
          <w:b w:val="false"/>
          <w:bCs w:val="false"/>
        </w:rPr>
        <w:t xml:space="preserve"> For the deployment of the model via a RESTful API.</w:t>
      </w:r>
    </w:p>
    <w:p>
      <w:pPr>
        <w:pStyle w:val="BodyText"/>
        <w:numPr>
          <w:ilvl w:val="0"/>
          <w:numId w:val="5"/>
        </w:numPr>
        <w:bidi w:val="0"/>
        <w:jc w:val="start"/>
        <w:rPr>
          <w:b w:val="false"/>
          <w:bCs w:val="false"/>
        </w:rPr>
      </w:pPr>
      <w:r>
        <w:rPr>
          <w:b/>
          <w:bCs/>
        </w:rPr>
        <w:t xml:space="preserve">joblib: </w:t>
      </w:r>
      <w:r>
        <w:rPr>
          <w:b w:val="false"/>
          <w:bCs w:val="false"/>
        </w:rPr>
        <w:t>Used for saving the trained models for use in the web application.</w:t>
      </w:r>
    </w:p>
    <w:p>
      <w:pPr>
        <w:pStyle w:val="BodyText"/>
        <w:bidi w:val="0"/>
        <w:jc w:val="start"/>
        <w:rPr>
          <w:b/>
          <w:bCs/>
        </w:rPr>
      </w:pPr>
      <w:r>
        <w:rPr>
          <w:b/>
          <w:bCs/>
        </w:rPr>
        <w:t>3. Training Setup and Hyperparameters</w:t>
      </w:r>
    </w:p>
    <w:p>
      <w:pPr>
        <w:pStyle w:val="BodyText"/>
        <w:bidi w:val="0"/>
        <w:jc w:val="start"/>
        <w:rPr>
          <w:b w:val="false"/>
          <w:bCs w:val="false"/>
        </w:rPr>
      </w:pPr>
      <w:r>
        <w:rPr>
          <w:b w:val="false"/>
          <w:bCs w:val="false"/>
        </w:rPr>
        <w:t>I implemented a training loop across all 6 dataset variations and 7 algorithms.</w:t>
      </w:r>
    </w:p>
    <w:p>
      <w:pPr>
        <w:pStyle w:val="BodyText"/>
        <w:bidi w:val="0"/>
        <w:jc w:val="start"/>
        <w:rPr>
          <w:b/>
          <w:bCs/>
        </w:rPr>
      </w:pPr>
      <w:r>
        <w:rPr>
          <w:b/>
          <w:bCs/>
        </w:rPr>
        <w:t>Data Handling:</w:t>
      </w:r>
    </w:p>
    <w:p>
      <w:pPr>
        <w:pStyle w:val="BodyText"/>
        <w:bidi w:val="0"/>
        <w:jc w:val="start"/>
        <w:rPr>
          <w:b w:val="false"/>
          <w:bCs w:val="false"/>
        </w:rPr>
      </w:pPr>
      <w:r>
        <w:rPr>
          <w:b w:val="false"/>
          <w:bCs w:val="false"/>
        </w:rPr>
        <w:t xml:space="preserve">    </w:t>
      </w:r>
      <w:r>
        <w:rPr>
          <w:b/>
          <w:bCs/>
        </w:rPr>
        <w:t>Splitting:</w:t>
      </w:r>
      <w:r>
        <w:rPr>
          <w:b w:val="false"/>
          <w:bCs w:val="false"/>
        </w:rPr>
        <w:t xml:space="preserve"> Every dataset was split into 80% Training and 20% Testing using “train_test_split”.</w:t>
      </w:r>
    </w:p>
    <w:p>
      <w:pPr>
        <w:pStyle w:val="BodyText"/>
        <w:bidi w:val="0"/>
        <w:jc w:val="start"/>
        <w:rPr>
          <w:b w:val="false"/>
          <w:bCs w:val="false"/>
        </w:rPr>
      </w:pPr>
      <w:r>
        <w:rPr>
          <w:b w:val="false"/>
          <w:bCs w:val="false"/>
        </w:rPr>
        <w:t xml:space="preserve">    </w:t>
      </w:r>
      <w:r>
        <w:rPr>
          <w:b/>
          <w:bCs/>
        </w:rPr>
        <w:t xml:space="preserve">Reproducibility: </w:t>
      </w:r>
      <w:r>
        <w:rPr>
          <w:b w:val="false"/>
          <w:bCs w:val="false"/>
        </w:rPr>
        <w:t>A random_state=42 was used across all splits and model initializations to ensure that my results can be independently verified.</w:t>
      </w:r>
    </w:p>
    <w:p>
      <w:pPr>
        <w:pStyle w:val="BodyText"/>
        <w:bidi w:val="0"/>
        <w:jc w:val="start"/>
        <w:rPr>
          <w:b w:val="false"/>
          <w:bCs w:val="false"/>
        </w:rPr>
      </w:pPr>
      <w:r>
        <w:rPr>
          <w:b w:val="false"/>
          <w:bCs w:val="false"/>
        </w:rPr>
        <w:t xml:space="preserve">    </w:t>
      </w:r>
      <w:r>
        <w:rPr>
          <w:b/>
          <w:bCs/>
        </w:rPr>
        <w:t>Imputation:</w:t>
      </w:r>
      <w:r>
        <w:rPr>
          <w:b w:val="false"/>
          <w:bCs w:val="false"/>
        </w:rPr>
        <w:t xml:space="preserve"> For the Hungarian experiments (D2 and D3), SimpleImputer(strategy='mean') was used to handle missing values.</w:t>
      </w:r>
    </w:p>
    <w:p>
      <w:pPr>
        <w:pStyle w:val="BodyText"/>
        <w:bidi w:val="0"/>
        <w:jc w:val="start"/>
        <w:rPr>
          <w:b w:val="false"/>
          <w:bCs w:val="false"/>
        </w:rPr>
      </w:pPr>
      <w:r>
        <w:rPr>
          <w:b w:val="false"/>
          <w:bCs w:val="false"/>
        </w:rPr>
        <w:t xml:space="preserve">    </w:t>
      </w:r>
      <w:r>
        <w:rPr>
          <w:b/>
          <w:bCs/>
        </w:rPr>
        <w:t xml:space="preserve">Scaling: </w:t>
      </w:r>
      <w:r>
        <w:rPr>
          <w:b w:val="false"/>
          <w:bCs w:val="false"/>
        </w:rPr>
        <w:t>StandardScaler was applied to normalize the feature space. This is important for distance-based models like KNN and SVM, as it ensures that features with larger numerical ranges (e.g., Cholesterol) do not disproportionately influence the model compared to smaller ones (e.g., Age).</w:t>
      </w:r>
    </w:p>
    <w:p>
      <w:pPr>
        <w:pStyle w:val="BodyText"/>
        <w:bidi w:val="0"/>
        <w:jc w:val="start"/>
        <w:rPr>
          <w:b w:val="false"/>
          <w:bCs w:val="false"/>
        </w:rPr>
      </w:pPr>
      <w:r>
        <w:rPr>
          <w:b/>
          <w:bCs/>
        </w:rPr>
        <w:t>Algorithm Implementation:</w:t>
      </w:r>
      <w:r>
        <w:rPr>
          <w:b w:val="false"/>
          <w:bCs w:val="false"/>
        </w:rPr>
        <w:t xml:space="preserve"> I imported and initialized the following seven models from </w:t>
      </w:r>
      <w:r>
        <w:rPr>
          <w:b/>
          <w:bCs/>
        </w:rPr>
        <w:t>sklearn</w:t>
      </w:r>
      <w:r>
        <w:rPr>
          <w:b w:val="false"/>
          <w:bCs w:val="false"/>
        </w:rPr>
        <w:t xml:space="preserve"> and </w:t>
      </w:r>
      <w:r>
        <w:rPr>
          <w:b/>
          <w:bCs/>
        </w:rPr>
        <w:t>xgboost</w:t>
      </w:r>
      <w:r>
        <w:rPr>
          <w:b w:val="false"/>
          <w:bCs w:val="false"/>
        </w:rPr>
        <w:t>:</w:t>
      </w:r>
    </w:p>
    <w:p>
      <w:pPr>
        <w:pStyle w:val="BodyText"/>
        <w:numPr>
          <w:ilvl w:val="0"/>
          <w:numId w:val="6"/>
        </w:numPr>
        <w:bidi w:val="0"/>
        <w:jc w:val="start"/>
        <w:rPr>
          <w:b w:val="false"/>
          <w:bCs w:val="false"/>
        </w:rPr>
      </w:pPr>
      <w:r>
        <w:rPr>
          <w:b w:val="false"/>
          <w:bCs w:val="false"/>
        </w:rPr>
        <w:t>LogisticRegression(max_iter=1000)</w:t>
      </w:r>
    </w:p>
    <w:p>
      <w:pPr>
        <w:pStyle w:val="BodyText"/>
        <w:numPr>
          <w:ilvl w:val="0"/>
          <w:numId w:val="6"/>
        </w:numPr>
        <w:bidi w:val="0"/>
        <w:jc w:val="start"/>
        <w:rPr>
          <w:b w:val="false"/>
          <w:bCs w:val="false"/>
        </w:rPr>
      </w:pPr>
      <w:r>
        <w:rPr>
          <w:b w:val="false"/>
          <w:bCs w:val="false"/>
        </w:rPr>
        <w:t>KNeighborsClassifier()</w:t>
      </w:r>
    </w:p>
    <w:p>
      <w:pPr>
        <w:pStyle w:val="BodyText"/>
        <w:numPr>
          <w:ilvl w:val="0"/>
          <w:numId w:val="6"/>
        </w:numPr>
        <w:bidi w:val="0"/>
        <w:jc w:val="start"/>
        <w:rPr>
          <w:b w:val="false"/>
          <w:bCs w:val="false"/>
        </w:rPr>
      </w:pPr>
      <w:r>
        <w:rPr>
          <w:b w:val="false"/>
          <w:bCs w:val="false"/>
        </w:rPr>
        <w:t>SVC(probability=True)</w:t>
      </w:r>
    </w:p>
    <w:p>
      <w:pPr>
        <w:pStyle w:val="BodyText"/>
        <w:numPr>
          <w:ilvl w:val="0"/>
          <w:numId w:val="6"/>
        </w:numPr>
        <w:bidi w:val="0"/>
        <w:jc w:val="start"/>
        <w:rPr>
          <w:b w:val="false"/>
          <w:bCs w:val="false"/>
        </w:rPr>
      </w:pPr>
      <w:r>
        <w:rPr>
          <w:b w:val="false"/>
          <w:bCs w:val="false"/>
        </w:rPr>
        <w:t>GaussianNB()</w:t>
      </w:r>
    </w:p>
    <w:p>
      <w:pPr>
        <w:pStyle w:val="BodyText"/>
        <w:numPr>
          <w:ilvl w:val="0"/>
          <w:numId w:val="6"/>
        </w:numPr>
        <w:bidi w:val="0"/>
        <w:jc w:val="start"/>
        <w:rPr>
          <w:b w:val="false"/>
          <w:bCs w:val="false"/>
        </w:rPr>
      </w:pPr>
      <w:r>
        <w:rPr>
          <w:b w:val="false"/>
          <w:bCs w:val="false"/>
        </w:rPr>
        <w:t>DecisionTreeClassifier()</w:t>
      </w:r>
    </w:p>
    <w:p>
      <w:pPr>
        <w:pStyle w:val="BodyText"/>
        <w:numPr>
          <w:ilvl w:val="0"/>
          <w:numId w:val="6"/>
        </w:numPr>
        <w:bidi w:val="0"/>
        <w:jc w:val="start"/>
        <w:rPr>
          <w:b w:val="false"/>
          <w:bCs w:val="false"/>
        </w:rPr>
      </w:pPr>
      <w:r>
        <w:rPr>
          <w:b w:val="false"/>
          <w:bCs w:val="false"/>
        </w:rPr>
        <w:t>RandomForestClassifier(n_estimators=100)</w:t>
      </w:r>
    </w:p>
    <w:p>
      <w:pPr>
        <w:pStyle w:val="BodyText"/>
        <w:numPr>
          <w:ilvl w:val="0"/>
          <w:numId w:val="6"/>
        </w:numPr>
        <w:bidi w:val="0"/>
        <w:jc w:val="start"/>
        <w:rPr>
          <w:b w:val="false"/>
          <w:bCs w:val="false"/>
        </w:rPr>
      </w:pPr>
      <w:r>
        <w:rPr>
          <w:b w:val="false"/>
          <w:bCs w:val="false"/>
        </w:rPr>
        <w:t>XGBClassifier()</w:t>
      </w:r>
    </w:p>
    <w:p>
      <w:pPr>
        <w:pStyle w:val="BodyText"/>
        <w:bidi w:val="0"/>
        <w:jc w:val="start"/>
        <w:rPr>
          <w:b/>
          <w:bCs/>
        </w:rPr>
      </w:pPr>
      <w:r>
        <w:rPr>
          <w:b/>
          <w:bCs/>
        </w:rPr>
        <w:t>4. Results</w:t>
      </w:r>
    </w:p>
    <w:p>
      <w:pPr>
        <w:pStyle w:val="BodyText"/>
        <w:bidi w:val="0"/>
        <w:jc w:val="start"/>
        <w:rPr>
          <w:b/>
          <w:bCs/>
        </w:rPr>
      </w:pPr>
      <w:r>
        <w:rPr>
          <w:b/>
          <w:bCs/>
        </w:rPr>
        <w:t>Reproduction: Cleveland Standard Dataset (D5)</w:t>
      </w:r>
    </w:p>
    <w:p>
      <w:pPr>
        <w:pStyle w:val="BodyText"/>
        <w:bidi w:val="0"/>
        <w:jc w:val="start"/>
        <w:rPr>
          <w:b w:val="false"/>
          <w:bCs w:val="false"/>
        </w:rPr>
      </w:pPr>
      <w:r>
        <w:rPr>
          <w:b w:val="false"/>
          <w:bCs w:val="false"/>
        </w:rPr>
        <w:t>On the Cleveland dataset, my reproduction efforts yielded high performance across all models. While the original paper identified Random Forest (RF) as the superior model with 90.16% accuracy, my implementation found that Naive Bayes (NB) actually outperformed it with an accuracy of 91.67%, followed by Random Forest (RF) and Support Vector Machine (SVM), with accuracies of 88.33%.</w:t>
      </w:r>
    </w:p>
    <w:p>
      <w:pPr>
        <w:pStyle w:val="BodyText"/>
        <w:bidi w:val="0"/>
        <w:jc w:val="start"/>
        <w:rPr>
          <w:b w:val="false"/>
          <w:bCs w:val="false"/>
        </w:rPr>
      </w:pPr>
      <w:r>
        <w:rPr>
          <w:b w:val="false"/>
          <w:bCs w:val="false"/>
        </w:rPr>
      </w:r>
    </w:p>
    <w:p>
      <w:pPr>
        <w:pStyle w:val="BodyText"/>
        <w:bidi w:val="0"/>
        <w:jc w:val="start"/>
        <w:rPr>
          <w:b/>
          <w:bCs/>
        </w:rPr>
      </w:pPr>
      <w:r>
        <w:rPr>
          <w:b/>
          <w:bCs/>
        </w:rPr>
        <w:t>The paper’s results:</w:t>
      </w:r>
    </w:p>
    <w:tbl>
      <w:tblPr>
        <w:tblW w:w="7815" w:type="dxa"/>
        <w:jc w:val="start"/>
        <w:tblInd w:w="0" w:type="dxa"/>
        <w:tblLayout w:type="fixed"/>
        <w:tblCellMar>
          <w:top w:w="28" w:type="dxa"/>
          <w:start w:w="28" w:type="dxa"/>
          <w:bottom w:w="28" w:type="dxa"/>
          <w:end w:w="28" w:type="dxa"/>
        </w:tblCellMar>
      </w:tblPr>
      <w:tblGrid>
        <w:gridCol w:w="2035"/>
        <w:gridCol w:w="1538"/>
        <w:gridCol w:w="1509"/>
        <w:gridCol w:w="1205"/>
        <w:gridCol w:w="1528"/>
      </w:tblGrid>
      <w:tr>
        <w:trPr>
          <w:tblHeader w:val="true"/>
        </w:trPr>
        <w:tc>
          <w:tcPr>
            <w:tcW w:w="2035" w:type="dxa"/>
            <w:tcBorders/>
            <w:vAlign w:val="center"/>
          </w:tcPr>
          <w:p>
            <w:pPr>
              <w:pStyle w:val="TableHeading"/>
              <w:suppressLineNumbers/>
              <w:bidi w:val="0"/>
              <w:jc w:val="center"/>
              <w:rPr/>
            </w:pPr>
            <w:r>
              <w:rPr/>
              <w:t>Model</w:t>
            </w:r>
          </w:p>
        </w:tc>
        <w:tc>
          <w:tcPr>
            <w:tcW w:w="1538" w:type="dxa"/>
            <w:tcBorders/>
            <w:vAlign w:val="center"/>
          </w:tcPr>
          <w:p>
            <w:pPr>
              <w:pStyle w:val="TableHeading"/>
              <w:bidi w:val="0"/>
              <w:jc w:val="end"/>
              <w:rPr/>
            </w:pPr>
            <w:r>
              <w:rPr/>
              <w:t>Accuracy (%)</w:t>
            </w:r>
          </w:p>
        </w:tc>
        <w:tc>
          <w:tcPr>
            <w:tcW w:w="1509" w:type="dxa"/>
            <w:tcBorders/>
            <w:vAlign w:val="center"/>
          </w:tcPr>
          <w:p>
            <w:pPr>
              <w:pStyle w:val="TableHeading"/>
              <w:bidi w:val="0"/>
              <w:jc w:val="end"/>
              <w:rPr/>
            </w:pPr>
            <w:r>
              <w:rPr/>
              <w:t>Precision (%)</w:t>
            </w:r>
          </w:p>
        </w:tc>
        <w:tc>
          <w:tcPr>
            <w:tcW w:w="1205" w:type="dxa"/>
            <w:tcBorders/>
            <w:vAlign w:val="center"/>
          </w:tcPr>
          <w:p>
            <w:pPr>
              <w:pStyle w:val="TableHeading"/>
              <w:bidi w:val="0"/>
              <w:jc w:val="end"/>
              <w:rPr/>
            </w:pPr>
            <w:r>
              <w:rPr/>
              <w:t>Recall (%)</w:t>
            </w:r>
          </w:p>
        </w:tc>
        <w:tc>
          <w:tcPr>
            <w:tcW w:w="1528" w:type="dxa"/>
            <w:tcBorders/>
            <w:vAlign w:val="center"/>
          </w:tcPr>
          <w:p>
            <w:pPr>
              <w:pStyle w:val="TableHeading"/>
              <w:bidi w:val="0"/>
              <w:jc w:val="end"/>
              <w:rPr/>
            </w:pPr>
            <w:r>
              <w:rPr/>
              <w:t>F1-Score (%)</w:t>
            </w:r>
          </w:p>
        </w:tc>
      </w:tr>
      <w:tr>
        <w:trPr/>
        <w:tc>
          <w:tcPr>
            <w:tcW w:w="2035" w:type="dxa"/>
            <w:tcBorders/>
            <w:vAlign w:val="center"/>
          </w:tcPr>
          <w:p>
            <w:pPr>
              <w:pStyle w:val="TableContents"/>
              <w:widowControl w:val="false"/>
              <w:suppressLineNumbers/>
              <w:bidi w:val="0"/>
              <w:jc w:val="start"/>
              <w:rPr/>
            </w:pPr>
            <w:r>
              <w:rPr/>
              <w:t>Logistic Regression</w:t>
            </w:r>
          </w:p>
        </w:tc>
        <w:tc>
          <w:tcPr>
            <w:tcW w:w="1538" w:type="dxa"/>
            <w:tcBorders/>
            <w:vAlign w:val="center"/>
          </w:tcPr>
          <w:p>
            <w:pPr>
              <w:pStyle w:val="TableContents"/>
              <w:bidi w:val="0"/>
              <w:jc w:val="end"/>
              <w:rPr/>
            </w:pPr>
            <w:r>
              <w:rPr/>
              <w:t>88.52</w:t>
            </w:r>
          </w:p>
        </w:tc>
        <w:tc>
          <w:tcPr>
            <w:tcW w:w="1509" w:type="dxa"/>
            <w:tcBorders/>
            <w:vAlign w:val="center"/>
          </w:tcPr>
          <w:p>
            <w:pPr>
              <w:pStyle w:val="TableContents"/>
              <w:bidi w:val="0"/>
              <w:jc w:val="end"/>
              <w:rPr/>
            </w:pPr>
            <w:r>
              <w:rPr/>
              <w:t>82.85</w:t>
            </w:r>
          </w:p>
        </w:tc>
        <w:tc>
          <w:tcPr>
            <w:tcW w:w="1205" w:type="dxa"/>
            <w:tcBorders/>
            <w:vAlign w:val="center"/>
          </w:tcPr>
          <w:p>
            <w:pPr>
              <w:pStyle w:val="TableContents"/>
              <w:bidi w:val="0"/>
              <w:jc w:val="end"/>
              <w:rPr/>
            </w:pPr>
            <w:r>
              <w:rPr/>
              <w:t>96.66</w:t>
            </w:r>
          </w:p>
        </w:tc>
        <w:tc>
          <w:tcPr>
            <w:tcW w:w="1528" w:type="dxa"/>
            <w:tcBorders/>
            <w:vAlign w:val="center"/>
          </w:tcPr>
          <w:p>
            <w:pPr>
              <w:pStyle w:val="TableContents"/>
              <w:bidi w:val="0"/>
              <w:jc w:val="end"/>
              <w:rPr/>
            </w:pPr>
            <w:r>
              <w:rPr/>
              <w:t>89.23</w:t>
            </w:r>
          </w:p>
        </w:tc>
      </w:tr>
      <w:tr>
        <w:trPr/>
        <w:tc>
          <w:tcPr>
            <w:tcW w:w="2035" w:type="dxa"/>
            <w:tcBorders/>
            <w:vAlign w:val="center"/>
          </w:tcPr>
          <w:p>
            <w:pPr>
              <w:pStyle w:val="TableContents"/>
              <w:widowControl w:val="false"/>
              <w:suppressLineNumbers/>
              <w:bidi w:val="0"/>
              <w:jc w:val="start"/>
              <w:rPr/>
            </w:pPr>
            <w:r>
              <w:rPr/>
              <w:t>KNN</w:t>
            </w:r>
          </w:p>
        </w:tc>
        <w:tc>
          <w:tcPr>
            <w:tcW w:w="1538" w:type="dxa"/>
            <w:tcBorders/>
            <w:vAlign w:val="center"/>
          </w:tcPr>
          <w:p>
            <w:pPr>
              <w:pStyle w:val="TableContents"/>
              <w:bidi w:val="0"/>
              <w:jc w:val="end"/>
              <w:rPr/>
            </w:pPr>
            <w:r>
              <w:rPr/>
              <w:t>83.60</w:t>
            </w:r>
          </w:p>
        </w:tc>
        <w:tc>
          <w:tcPr>
            <w:tcW w:w="1509" w:type="dxa"/>
            <w:tcBorders/>
            <w:vAlign w:val="center"/>
          </w:tcPr>
          <w:p>
            <w:pPr>
              <w:pStyle w:val="TableContents"/>
              <w:bidi w:val="0"/>
              <w:jc w:val="end"/>
              <w:rPr/>
            </w:pPr>
            <w:r>
              <w:rPr/>
              <w:t>81.25</w:t>
            </w:r>
          </w:p>
        </w:tc>
        <w:tc>
          <w:tcPr>
            <w:tcW w:w="1205" w:type="dxa"/>
            <w:tcBorders/>
            <w:vAlign w:val="center"/>
          </w:tcPr>
          <w:p>
            <w:pPr>
              <w:pStyle w:val="TableContents"/>
              <w:bidi w:val="0"/>
              <w:jc w:val="end"/>
              <w:rPr/>
            </w:pPr>
            <w:r>
              <w:rPr/>
              <w:t>86.66</w:t>
            </w:r>
          </w:p>
        </w:tc>
        <w:tc>
          <w:tcPr>
            <w:tcW w:w="1528" w:type="dxa"/>
            <w:tcBorders/>
            <w:vAlign w:val="center"/>
          </w:tcPr>
          <w:p>
            <w:pPr>
              <w:pStyle w:val="TableContents"/>
              <w:bidi w:val="0"/>
              <w:jc w:val="end"/>
              <w:rPr/>
            </w:pPr>
            <w:r>
              <w:rPr/>
              <w:t>83.87</w:t>
            </w:r>
          </w:p>
        </w:tc>
      </w:tr>
      <w:tr>
        <w:trPr/>
        <w:tc>
          <w:tcPr>
            <w:tcW w:w="2035" w:type="dxa"/>
            <w:tcBorders/>
            <w:vAlign w:val="center"/>
          </w:tcPr>
          <w:p>
            <w:pPr>
              <w:pStyle w:val="TableContents"/>
              <w:widowControl w:val="false"/>
              <w:suppressLineNumbers/>
              <w:bidi w:val="0"/>
              <w:jc w:val="start"/>
              <w:rPr/>
            </w:pPr>
            <w:r>
              <w:rPr/>
              <w:t>SVM</w:t>
            </w:r>
          </w:p>
        </w:tc>
        <w:tc>
          <w:tcPr>
            <w:tcW w:w="1538" w:type="dxa"/>
            <w:tcBorders/>
            <w:vAlign w:val="center"/>
          </w:tcPr>
          <w:p>
            <w:pPr>
              <w:pStyle w:val="TableContents"/>
              <w:bidi w:val="0"/>
              <w:jc w:val="end"/>
              <w:rPr/>
            </w:pPr>
            <w:r>
              <w:rPr/>
              <w:t>83.60</w:t>
            </w:r>
          </w:p>
        </w:tc>
        <w:tc>
          <w:tcPr>
            <w:tcW w:w="1509" w:type="dxa"/>
            <w:tcBorders/>
            <w:vAlign w:val="center"/>
          </w:tcPr>
          <w:p>
            <w:pPr>
              <w:pStyle w:val="TableContents"/>
              <w:bidi w:val="0"/>
              <w:jc w:val="end"/>
              <w:rPr/>
            </w:pPr>
            <w:r>
              <w:rPr/>
              <w:t>76.31</w:t>
            </w:r>
          </w:p>
        </w:tc>
        <w:tc>
          <w:tcPr>
            <w:tcW w:w="1205" w:type="dxa"/>
            <w:tcBorders/>
            <w:vAlign w:val="center"/>
          </w:tcPr>
          <w:p>
            <w:pPr>
              <w:pStyle w:val="TableContents"/>
              <w:bidi w:val="0"/>
              <w:jc w:val="end"/>
              <w:rPr/>
            </w:pPr>
            <w:r>
              <w:rPr/>
              <w:t>96.66</w:t>
            </w:r>
          </w:p>
        </w:tc>
        <w:tc>
          <w:tcPr>
            <w:tcW w:w="1528" w:type="dxa"/>
            <w:tcBorders/>
            <w:vAlign w:val="center"/>
          </w:tcPr>
          <w:p>
            <w:pPr>
              <w:pStyle w:val="TableContents"/>
              <w:bidi w:val="0"/>
              <w:jc w:val="end"/>
              <w:rPr/>
            </w:pPr>
            <w:r>
              <w:rPr/>
              <w:t>85.29</w:t>
            </w:r>
          </w:p>
        </w:tc>
      </w:tr>
      <w:tr>
        <w:trPr/>
        <w:tc>
          <w:tcPr>
            <w:tcW w:w="2035" w:type="dxa"/>
            <w:tcBorders/>
            <w:vAlign w:val="center"/>
          </w:tcPr>
          <w:p>
            <w:pPr>
              <w:pStyle w:val="TableContents"/>
              <w:widowControl w:val="false"/>
              <w:suppressLineNumbers/>
              <w:bidi w:val="0"/>
              <w:jc w:val="start"/>
              <w:rPr/>
            </w:pPr>
            <w:r>
              <w:rPr/>
              <w:t>Naive Bayes</w:t>
            </w:r>
          </w:p>
        </w:tc>
        <w:tc>
          <w:tcPr>
            <w:tcW w:w="1538" w:type="dxa"/>
            <w:tcBorders/>
            <w:vAlign w:val="center"/>
          </w:tcPr>
          <w:p>
            <w:pPr>
              <w:pStyle w:val="TableContents"/>
              <w:bidi w:val="0"/>
              <w:jc w:val="end"/>
              <w:rPr>
                <w:b/>
                <w:bCs/>
              </w:rPr>
            </w:pPr>
            <w:r>
              <w:rPr>
                <w:b/>
                <w:bCs/>
              </w:rPr>
              <w:t>75.40</w:t>
            </w:r>
          </w:p>
        </w:tc>
        <w:tc>
          <w:tcPr>
            <w:tcW w:w="1509" w:type="dxa"/>
            <w:tcBorders/>
            <w:vAlign w:val="center"/>
          </w:tcPr>
          <w:p>
            <w:pPr>
              <w:pStyle w:val="TableContents"/>
              <w:bidi w:val="0"/>
              <w:jc w:val="end"/>
              <w:rPr/>
            </w:pPr>
            <w:r>
              <w:rPr/>
              <w:t>67.44</w:t>
            </w:r>
          </w:p>
        </w:tc>
        <w:tc>
          <w:tcPr>
            <w:tcW w:w="1205" w:type="dxa"/>
            <w:tcBorders/>
            <w:vAlign w:val="center"/>
          </w:tcPr>
          <w:p>
            <w:pPr>
              <w:pStyle w:val="TableContents"/>
              <w:bidi w:val="0"/>
              <w:jc w:val="end"/>
              <w:rPr/>
            </w:pPr>
            <w:r>
              <w:rPr/>
              <w:t>96.66</w:t>
            </w:r>
          </w:p>
        </w:tc>
        <w:tc>
          <w:tcPr>
            <w:tcW w:w="1528" w:type="dxa"/>
            <w:tcBorders/>
            <w:vAlign w:val="center"/>
          </w:tcPr>
          <w:p>
            <w:pPr>
              <w:pStyle w:val="TableContents"/>
              <w:bidi w:val="0"/>
              <w:jc w:val="end"/>
              <w:rPr/>
            </w:pPr>
            <w:r>
              <w:rPr/>
              <w:t>79.45</w:t>
            </w:r>
          </w:p>
        </w:tc>
      </w:tr>
      <w:tr>
        <w:trPr/>
        <w:tc>
          <w:tcPr>
            <w:tcW w:w="2035" w:type="dxa"/>
            <w:tcBorders/>
            <w:vAlign w:val="center"/>
          </w:tcPr>
          <w:p>
            <w:pPr>
              <w:pStyle w:val="TableContents"/>
              <w:widowControl w:val="false"/>
              <w:suppressLineNumbers/>
              <w:bidi w:val="0"/>
              <w:jc w:val="start"/>
              <w:rPr/>
            </w:pPr>
            <w:r>
              <w:rPr/>
              <w:t>Decision Tree</w:t>
            </w:r>
          </w:p>
        </w:tc>
        <w:tc>
          <w:tcPr>
            <w:tcW w:w="1538" w:type="dxa"/>
            <w:tcBorders/>
            <w:vAlign w:val="center"/>
          </w:tcPr>
          <w:p>
            <w:pPr>
              <w:pStyle w:val="TableContents"/>
              <w:bidi w:val="0"/>
              <w:jc w:val="end"/>
              <w:rPr/>
            </w:pPr>
            <w:r>
              <w:rPr/>
              <w:t>78.68</w:t>
            </w:r>
          </w:p>
        </w:tc>
        <w:tc>
          <w:tcPr>
            <w:tcW w:w="1509" w:type="dxa"/>
            <w:tcBorders/>
            <w:vAlign w:val="center"/>
          </w:tcPr>
          <w:p>
            <w:pPr>
              <w:pStyle w:val="TableContents"/>
              <w:bidi w:val="0"/>
              <w:jc w:val="end"/>
              <w:rPr/>
            </w:pPr>
            <w:r>
              <w:rPr/>
              <w:t>77.41</w:t>
            </w:r>
          </w:p>
        </w:tc>
        <w:tc>
          <w:tcPr>
            <w:tcW w:w="1205" w:type="dxa"/>
            <w:tcBorders/>
            <w:vAlign w:val="center"/>
          </w:tcPr>
          <w:p>
            <w:pPr>
              <w:pStyle w:val="TableContents"/>
              <w:bidi w:val="0"/>
              <w:jc w:val="end"/>
              <w:rPr/>
            </w:pPr>
            <w:r>
              <w:rPr/>
              <w:t>80.00</w:t>
            </w:r>
          </w:p>
        </w:tc>
        <w:tc>
          <w:tcPr>
            <w:tcW w:w="1528" w:type="dxa"/>
            <w:tcBorders/>
            <w:vAlign w:val="center"/>
          </w:tcPr>
          <w:p>
            <w:pPr>
              <w:pStyle w:val="TableContents"/>
              <w:bidi w:val="0"/>
              <w:jc w:val="end"/>
              <w:rPr/>
            </w:pPr>
            <w:r>
              <w:rPr/>
              <w:t>78.68</w:t>
            </w:r>
          </w:p>
        </w:tc>
      </w:tr>
      <w:tr>
        <w:trPr/>
        <w:tc>
          <w:tcPr>
            <w:tcW w:w="2035" w:type="dxa"/>
            <w:tcBorders/>
            <w:vAlign w:val="center"/>
          </w:tcPr>
          <w:p>
            <w:pPr>
              <w:pStyle w:val="TableContents"/>
              <w:widowControl w:val="false"/>
              <w:suppressLineNumbers/>
              <w:bidi w:val="0"/>
              <w:jc w:val="start"/>
              <w:rPr/>
            </w:pPr>
            <w:r>
              <w:rPr/>
              <w:t>Random Forest</w:t>
            </w:r>
          </w:p>
        </w:tc>
        <w:tc>
          <w:tcPr>
            <w:tcW w:w="1538" w:type="dxa"/>
            <w:tcBorders/>
            <w:vAlign w:val="center"/>
          </w:tcPr>
          <w:p>
            <w:pPr>
              <w:pStyle w:val="TableContents"/>
              <w:bidi w:val="0"/>
              <w:jc w:val="end"/>
              <w:rPr>
                <w:b/>
                <w:bCs/>
              </w:rPr>
            </w:pPr>
            <w:r>
              <w:rPr>
                <w:b/>
                <w:bCs/>
              </w:rPr>
              <w:t>90.16</w:t>
            </w:r>
          </w:p>
        </w:tc>
        <w:tc>
          <w:tcPr>
            <w:tcW w:w="1509" w:type="dxa"/>
            <w:tcBorders/>
            <w:vAlign w:val="center"/>
          </w:tcPr>
          <w:p>
            <w:pPr>
              <w:pStyle w:val="TableContents"/>
              <w:bidi w:val="0"/>
              <w:jc w:val="end"/>
              <w:rPr/>
            </w:pPr>
            <w:r>
              <w:rPr/>
              <w:t>83.33</w:t>
            </w:r>
          </w:p>
        </w:tc>
        <w:tc>
          <w:tcPr>
            <w:tcW w:w="1205" w:type="dxa"/>
            <w:tcBorders/>
            <w:vAlign w:val="center"/>
          </w:tcPr>
          <w:p>
            <w:pPr>
              <w:pStyle w:val="TableContents"/>
              <w:bidi w:val="0"/>
              <w:jc w:val="end"/>
              <w:rPr/>
            </w:pPr>
            <w:r>
              <w:rPr/>
              <w:t>100.00</w:t>
            </w:r>
          </w:p>
        </w:tc>
        <w:tc>
          <w:tcPr>
            <w:tcW w:w="1528" w:type="dxa"/>
            <w:tcBorders/>
            <w:vAlign w:val="center"/>
          </w:tcPr>
          <w:p>
            <w:pPr>
              <w:pStyle w:val="TableContents"/>
              <w:bidi w:val="0"/>
              <w:jc w:val="end"/>
              <w:rPr/>
            </w:pPr>
            <w:r>
              <w:rPr/>
              <w:t>90.90</w:t>
            </w:r>
          </w:p>
        </w:tc>
      </w:tr>
      <w:tr>
        <w:trPr/>
        <w:tc>
          <w:tcPr>
            <w:tcW w:w="2035" w:type="dxa"/>
            <w:tcBorders/>
            <w:vAlign w:val="center"/>
          </w:tcPr>
          <w:p>
            <w:pPr>
              <w:pStyle w:val="TableContents"/>
              <w:widowControl w:val="false"/>
              <w:suppressLineNumbers/>
              <w:bidi w:val="0"/>
              <w:jc w:val="start"/>
              <w:rPr/>
            </w:pPr>
            <w:r>
              <w:rPr/>
              <w:t>XGBoost</w:t>
            </w:r>
          </w:p>
        </w:tc>
        <w:tc>
          <w:tcPr>
            <w:tcW w:w="1538" w:type="dxa"/>
            <w:tcBorders/>
            <w:vAlign w:val="center"/>
          </w:tcPr>
          <w:p>
            <w:pPr>
              <w:pStyle w:val="TableContents"/>
              <w:bidi w:val="0"/>
              <w:jc w:val="end"/>
              <w:rPr/>
            </w:pPr>
            <w:r>
              <w:rPr/>
              <w:t>88.52</w:t>
            </w:r>
          </w:p>
        </w:tc>
        <w:tc>
          <w:tcPr>
            <w:tcW w:w="1509" w:type="dxa"/>
            <w:tcBorders/>
            <w:vAlign w:val="center"/>
          </w:tcPr>
          <w:p>
            <w:pPr>
              <w:pStyle w:val="TableContents"/>
              <w:bidi w:val="0"/>
              <w:jc w:val="end"/>
              <w:rPr/>
            </w:pPr>
            <w:r>
              <w:rPr/>
              <w:t>84.84</w:t>
            </w:r>
          </w:p>
        </w:tc>
        <w:tc>
          <w:tcPr>
            <w:tcW w:w="1205" w:type="dxa"/>
            <w:tcBorders/>
            <w:vAlign w:val="center"/>
          </w:tcPr>
          <w:p>
            <w:pPr>
              <w:pStyle w:val="TableContents"/>
              <w:bidi w:val="0"/>
              <w:jc w:val="end"/>
              <w:rPr/>
            </w:pPr>
            <w:r>
              <w:rPr/>
              <w:t>93.33</w:t>
            </w:r>
          </w:p>
        </w:tc>
        <w:tc>
          <w:tcPr>
            <w:tcW w:w="1528" w:type="dxa"/>
            <w:tcBorders/>
            <w:vAlign w:val="center"/>
          </w:tcPr>
          <w:p>
            <w:pPr>
              <w:pStyle w:val="TableContents"/>
              <w:bidi w:val="0"/>
              <w:jc w:val="end"/>
              <w:rPr/>
            </w:pPr>
            <w:r>
              <w:rPr/>
              <w:t>88.88</w:t>
            </w:r>
          </w:p>
        </w:tc>
      </w:tr>
    </w:tbl>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bCs/>
        </w:rPr>
      </w:pPr>
      <w:r>
        <w:rPr>
          <w:b/>
          <w:bCs/>
        </w:rPr>
        <w:t>My Results (Cleveland Normal):</w:t>
      </w:r>
    </w:p>
    <w:tbl>
      <w:tblPr>
        <w:tblW w:w="7815" w:type="dxa"/>
        <w:jc w:val="start"/>
        <w:tblInd w:w="0" w:type="dxa"/>
        <w:tblLayout w:type="fixed"/>
        <w:tblCellMar>
          <w:top w:w="28" w:type="dxa"/>
          <w:start w:w="28" w:type="dxa"/>
          <w:bottom w:w="28" w:type="dxa"/>
          <w:end w:w="28" w:type="dxa"/>
        </w:tblCellMar>
      </w:tblPr>
      <w:tblGrid>
        <w:gridCol w:w="2035"/>
        <w:gridCol w:w="1538"/>
        <w:gridCol w:w="1509"/>
        <w:gridCol w:w="1205"/>
        <w:gridCol w:w="1528"/>
      </w:tblGrid>
      <w:tr>
        <w:trPr>
          <w:tblHeader w:val="true"/>
        </w:trPr>
        <w:tc>
          <w:tcPr>
            <w:tcW w:w="2035" w:type="dxa"/>
            <w:tcBorders/>
            <w:vAlign w:val="center"/>
          </w:tcPr>
          <w:p>
            <w:pPr>
              <w:pStyle w:val="TableHeading"/>
              <w:suppressLineNumbers/>
              <w:bidi w:val="0"/>
              <w:jc w:val="center"/>
              <w:rPr/>
            </w:pPr>
            <w:r>
              <w:rPr/>
              <w:t>Model</w:t>
            </w:r>
          </w:p>
        </w:tc>
        <w:tc>
          <w:tcPr>
            <w:tcW w:w="1538" w:type="dxa"/>
            <w:tcBorders/>
            <w:vAlign w:val="center"/>
          </w:tcPr>
          <w:p>
            <w:pPr>
              <w:pStyle w:val="TableHeading"/>
              <w:bidi w:val="0"/>
              <w:jc w:val="end"/>
              <w:rPr/>
            </w:pPr>
            <w:r>
              <w:rPr/>
              <w:t>Accuracy (%)</w:t>
            </w:r>
          </w:p>
        </w:tc>
        <w:tc>
          <w:tcPr>
            <w:tcW w:w="1509" w:type="dxa"/>
            <w:tcBorders/>
            <w:vAlign w:val="center"/>
          </w:tcPr>
          <w:p>
            <w:pPr>
              <w:pStyle w:val="TableHeading"/>
              <w:bidi w:val="0"/>
              <w:jc w:val="end"/>
              <w:rPr/>
            </w:pPr>
            <w:r>
              <w:rPr/>
              <w:t>Precision (%)</w:t>
            </w:r>
          </w:p>
        </w:tc>
        <w:tc>
          <w:tcPr>
            <w:tcW w:w="1205" w:type="dxa"/>
            <w:tcBorders/>
            <w:vAlign w:val="center"/>
          </w:tcPr>
          <w:p>
            <w:pPr>
              <w:pStyle w:val="TableHeading"/>
              <w:bidi w:val="0"/>
              <w:jc w:val="end"/>
              <w:rPr/>
            </w:pPr>
            <w:r>
              <w:rPr/>
              <w:t>Recall (%)</w:t>
            </w:r>
          </w:p>
        </w:tc>
        <w:tc>
          <w:tcPr>
            <w:tcW w:w="1528" w:type="dxa"/>
            <w:tcBorders/>
            <w:vAlign w:val="center"/>
          </w:tcPr>
          <w:p>
            <w:pPr>
              <w:pStyle w:val="TableHeading"/>
              <w:bidi w:val="0"/>
              <w:jc w:val="end"/>
              <w:rPr/>
            </w:pPr>
            <w:r>
              <w:rPr/>
              <w:t>F1-Score (%)</w:t>
            </w:r>
          </w:p>
        </w:tc>
      </w:tr>
      <w:tr>
        <w:trPr/>
        <w:tc>
          <w:tcPr>
            <w:tcW w:w="2035" w:type="dxa"/>
            <w:tcBorders/>
            <w:vAlign w:val="center"/>
          </w:tcPr>
          <w:p>
            <w:pPr>
              <w:pStyle w:val="TableContents"/>
              <w:widowControl w:val="false"/>
              <w:suppressLineNumbers/>
              <w:bidi w:val="0"/>
              <w:jc w:val="start"/>
              <w:rPr/>
            </w:pPr>
            <w:r>
              <w:rPr/>
              <w:t>Logistic Regression</w:t>
            </w:r>
          </w:p>
        </w:tc>
        <w:tc>
          <w:tcPr>
            <w:tcW w:w="1538" w:type="dxa"/>
            <w:tcBorders/>
            <w:vAlign w:val="center"/>
          </w:tcPr>
          <w:p>
            <w:pPr>
              <w:pStyle w:val="TableContents"/>
              <w:bidi w:val="0"/>
              <w:jc w:val="end"/>
              <w:rPr/>
            </w:pPr>
            <w:r>
              <w:rPr/>
              <w:t>86.67</w:t>
            </w:r>
          </w:p>
        </w:tc>
        <w:tc>
          <w:tcPr>
            <w:tcW w:w="1509" w:type="dxa"/>
            <w:tcBorders/>
            <w:vAlign w:val="center"/>
          </w:tcPr>
          <w:p>
            <w:pPr>
              <w:pStyle w:val="TableContents"/>
              <w:bidi w:val="0"/>
              <w:jc w:val="end"/>
              <w:rPr/>
            </w:pPr>
            <w:r>
              <w:rPr/>
              <w:t>83.33</w:t>
            </w:r>
          </w:p>
        </w:tc>
        <w:tc>
          <w:tcPr>
            <w:tcW w:w="1205" w:type="dxa"/>
            <w:tcBorders/>
            <w:vAlign w:val="center"/>
          </w:tcPr>
          <w:p>
            <w:pPr>
              <w:pStyle w:val="TableContents"/>
              <w:bidi w:val="0"/>
              <w:jc w:val="end"/>
              <w:rPr/>
            </w:pPr>
            <w:r>
              <w:rPr/>
              <w:t>83.33</w:t>
            </w:r>
          </w:p>
        </w:tc>
        <w:tc>
          <w:tcPr>
            <w:tcW w:w="1528" w:type="dxa"/>
            <w:tcBorders/>
            <w:vAlign w:val="center"/>
          </w:tcPr>
          <w:p>
            <w:pPr>
              <w:pStyle w:val="TableContents"/>
              <w:bidi w:val="0"/>
              <w:jc w:val="end"/>
              <w:rPr/>
            </w:pPr>
            <w:r>
              <w:rPr/>
              <w:t>83.33</w:t>
            </w:r>
          </w:p>
        </w:tc>
      </w:tr>
      <w:tr>
        <w:trPr/>
        <w:tc>
          <w:tcPr>
            <w:tcW w:w="2035" w:type="dxa"/>
            <w:tcBorders/>
            <w:vAlign w:val="center"/>
          </w:tcPr>
          <w:p>
            <w:pPr>
              <w:pStyle w:val="TableContents"/>
              <w:widowControl w:val="false"/>
              <w:suppressLineNumbers/>
              <w:bidi w:val="0"/>
              <w:jc w:val="start"/>
              <w:rPr/>
            </w:pPr>
            <w:r>
              <w:rPr/>
              <w:t>KNN</w:t>
            </w:r>
          </w:p>
        </w:tc>
        <w:tc>
          <w:tcPr>
            <w:tcW w:w="1538" w:type="dxa"/>
            <w:tcBorders/>
            <w:vAlign w:val="center"/>
          </w:tcPr>
          <w:p>
            <w:pPr>
              <w:pStyle w:val="TableContents"/>
              <w:bidi w:val="0"/>
              <w:jc w:val="end"/>
              <w:rPr/>
            </w:pPr>
            <w:r>
              <w:rPr/>
              <w:t>83.33</w:t>
            </w:r>
          </w:p>
        </w:tc>
        <w:tc>
          <w:tcPr>
            <w:tcW w:w="1509" w:type="dxa"/>
            <w:tcBorders/>
            <w:vAlign w:val="center"/>
          </w:tcPr>
          <w:p>
            <w:pPr>
              <w:pStyle w:val="TableContents"/>
              <w:bidi w:val="0"/>
              <w:jc w:val="end"/>
              <w:rPr/>
            </w:pPr>
            <w:r>
              <w:rPr/>
              <w:t>81.82</w:t>
            </w:r>
          </w:p>
        </w:tc>
        <w:tc>
          <w:tcPr>
            <w:tcW w:w="1205" w:type="dxa"/>
            <w:tcBorders/>
            <w:vAlign w:val="center"/>
          </w:tcPr>
          <w:p>
            <w:pPr>
              <w:pStyle w:val="TableContents"/>
              <w:bidi w:val="0"/>
              <w:jc w:val="end"/>
              <w:rPr/>
            </w:pPr>
            <w:r>
              <w:rPr/>
              <w:t>75.00</w:t>
            </w:r>
          </w:p>
        </w:tc>
        <w:tc>
          <w:tcPr>
            <w:tcW w:w="1528" w:type="dxa"/>
            <w:tcBorders/>
            <w:vAlign w:val="center"/>
          </w:tcPr>
          <w:p>
            <w:pPr>
              <w:pStyle w:val="TableContents"/>
              <w:bidi w:val="0"/>
              <w:jc w:val="end"/>
              <w:rPr/>
            </w:pPr>
            <w:r>
              <w:rPr/>
              <w:t>78.26</w:t>
            </w:r>
          </w:p>
        </w:tc>
      </w:tr>
      <w:tr>
        <w:trPr/>
        <w:tc>
          <w:tcPr>
            <w:tcW w:w="2035" w:type="dxa"/>
            <w:tcBorders/>
            <w:vAlign w:val="center"/>
          </w:tcPr>
          <w:p>
            <w:pPr>
              <w:pStyle w:val="TableContents"/>
              <w:widowControl w:val="false"/>
              <w:suppressLineNumbers/>
              <w:bidi w:val="0"/>
              <w:jc w:val="start"/>
              <w:rPr/>
            </w:pPr>
            <w:r>
              <w:rPr/>
              <w:t>SVM</w:t>
            </w:r>
          </w:p>
        </w:tc>
        <w:tc>
          <w:tcPr>
            <w:tcW w:w="1538" w:type="dxa"/>
            <w:tcBorders/>
            <w:vAlign w:val="center"/>
          </w:tcPr>
          <w:p>
            <w:pPr>
              <w:pStyle w:val="TableContents"/>
              <w:bidi w:val="0"/>
              <w:jc w:val="end"/>
              <w:rPr/>
            </w:pPr>
            <w:r>
              <w:rPr/>
              <w:t>88.33</w:t>
            </w:r>
          </w:p>
        </w:tc>
        <w:tc>
          <w:tcPr>
            <w:tcW w:w="1509" w:type="dxa"/>
            <w:tcBorders/>
            <w:vAlign w:val="center"/>
          </w:tcPr>
          <w:p>
            <w:pPr>
              <w:pStyle w:val="TableContents"/>
              <w:bidi w:val="0"/>
              <w:jc w:val="end"/>
              <w:rPr/>
            </w:pPr>
            <w:r>
              <w:rPr/>
              <w:t>86.96</w:t>
            </w:r>
          </w:p>
        </w:tc>
        <w:tc>
          <w:tcPr>
            <w:tcW w:w="1205" w:type="dxa"/>
            <w:tcBorders/>
            <w:vAlign w:val="center"/>
          </w:tcPr>
          <w:p>
            <w:pPr>
              <w:pStyle w:val="TableContents"/>
              <w:bidi w:val="0"/>
              <w:jc w:val="end"/>
              <w:rPr/>
            </w:pPr>
            <w:r>
              <w:rPr/>
              <w:t>83.33</w:t>
            </w:r>
          </w:p>
        </w:tc>
        <w:tc>
          <w:tcPr>
            <w:tcW w:w="1528" w:type="dxa"/>
            <w:tcBorders/>
            <w:vAlign w:val="center"/>
          </w:tcPr>
          <w:p>
            <w:pPr>
              <w:pStyle w:val="TableContents"/>
              <w:bidi w:val="0"/>
              <w:jc w:val="end"/>
              <w:rPr/>
            </w:pPr>
            <w:r>
              <w:rPr/>
              <w:t>85.11</w:t>
            </w:r>
          </w:p>
        </w:tc>
      </w:tr>
      <w:tr>
        <w:trPr/>
        <w:tc>
          <w:tcPr>
            <w:tcW w:w="2035" w:type="dxa"/>
            <w:tcBorders/>
            <w:vAlign w:val="center"/>
          </w:tcPr>
          <w:p>
            <w:pPr>
              <w:pStyle w:val="TableContents"/>
              <w:widowControl w:val="false"/>
              <w:suppressLineNumbers/>
              <w:bidi w:val="0"/>
              <w:jc w:val="start"/>
              <w:rPr/>
            </w:pPr>
            <w:r>
              <w:rPr/>
              <w:t>Naive Bayes</w:t>
            </w:r>
          </w:p>
        </w:tc>
        <w:tc>
          <w:tcPr>
            <w:tcW w:w="1538" w:type="dxa"/>
            <w:tcBorders/>
            <w:vAlign w:val="center"/>
          </w:tcPr>
          <w:p>
            <w:pPr>
              <w:pStyle w:val="TableContents"/>
              <w:bidi w:val="0"/>
              <w:jc w:val="end"/>
              <w:rPr>
                <w:b/>
                <w:bCs/>
              </w:rPr>
            </w:pPr>
            <w:r>
              <w:rPr>
                <w:b/>
                <w:bCs/>
              </w:rPr>
              <w:t>91.67</w:t>
            </w:r>
          </w:p>
        </w:tc>
        <w:tc>
          <w:tcPr>
            <w:tcW w:w="1509" w:type="dxa"/>
            <w:tcBorders/>
            <w:vAlign w:val="center"/>
          </w:tcPr>
          <w:p>
            <w:pPr>
              <w:pStyle w:val="TableContents"/>
              <w:bidi w:val="0"/>
              <w:jc w:val="end"/>
              <w:rPr/>
            </w:pPr>
            <w:r>
              <w:rPr/>
              <w:t>95.24</w:t>
            </w:r>
          </w:p>
        </w:tc>
        <w:tc>
          <w:tcPr>
            <w:tcW w:w="1205" w:type="dxa"/>
            <w:tcBorders/>
            <w:vAlign w:val="center"/>
          </w:tcPr>
          <w:p>
            <w:pPr>
              <w:pStyle w:val="TableContents"/>
              <w:bidi w:val="0"/>
              <w:jc w:val="end"/>
              <w:rPr/>
            </w:pPr>
            <w:r>
              <w:rPr/>
              <w:t>83.33</w:t>
            </w:r>
          </w:p>
        </w:tc>
        <w:tc>
          <w:tcPr>
            <w:tcW w:w="1528" w:type="dxa"/>
            <w:tcBorders/>
            <w:vAlign w:val="center"/>
          </w:tcPr>
          <w:p>
            <w:pPr>
              <w:pStyle w:val="TableContents"/>
              <w:bidi w:val="0"/>
              <w:jc w:val="end"/>
              <w:rPr/>
            </w:pPr>
            <w:r>
              <w:rPr/>
              <w:t>88.89</w:t>
            </w:r>
          </w:p>
        </w:tc>
      </w:tr>
      <w:tr>
        <w:trPr/>
        <w:tc>
          <w:tcPr>
            <w:tcW w:w="2035" w:type="dxa"/>
            <w:tcBorders/>
            <w:vAlign w:val="center"/>
          </w:tcPr>
          <w:p>
            <w:pPr>
              <w:pStyle w:val="TableContents"/>
              <w:widowControl w:val="false"/>
              <w:suppressLineNumbers/>
              <w:bidi w:val="0"/>
              <w:jc w:val="start"/>
              <w:rPr/>
            </w:pPr>
            <w:r>
              <w:rPr/>
              <w:t>Decision Tree</w:t>
            </w:r>
          </w:p>
        </w:tc>
        <w:tc>
          <w:tcPr>
            <w:tcW w:w="1538" w:type="dxa"/>
            <w:tcBorders/>
            <w:vAlign w:val="center"/>
          </w:tcPr>
          <w:p>
            <w:pPr>
              <w:pStyle w:val="TableContents"/>
              <w:bidi w:val="0"/>
              <w:jc w:val="end"/>
              <w:rPr/>
            </w:pPr>
            <w:r>
              <w:rPr/>
              <w:t>78.33</w:t>
            </w:r>
          </w:p>
        </w:tc>
        <w:tc>
          <w:tcPr>
            <w:tcW w:w="1509" w:type="dxa"/>
            <w:tcBorders/>
            <w:vAlign w:val="center"/>
          </w:tcPr>
          <w:p>
            <w:pPr>
              <w:pStyle w:val="TableContents"/>
              <w:bidi w:val="0"/>
              <w:jc w:val="end"/>
              <w:rPr/>
            </w:pPr>
            <w:r>
              <w:rPr/>
              <w:t>68.97</w:t>
            </w:r>
          </w:p>
        </w:tc>
        <w:tc>
          <w:tcPr>
            <w:tcW w:w="1205" w:type="dxa"/>
            <w:tcBorders/>
            <w:vAlign w:val="center"/>
          </w:tcPr>
          <w:p>
            <w:pPr>
              <w:pStyle w:val="TableContents"/>
              <w:bidi w:val="0"/>
              <w:jc w:val="end"/>
              <w:rPr/>
            </w:pPr>
            <w:r>
              <w:rPr/>
              <w:t>83.33</w:t>
            </w:r>
          </w:p>
        </w:tc>
        <w:tc>
          <w:tcPr>
            <w:tcW w:w="1528" w:type="dxa"/>
            <w:tcBorders/>
            <w:vAlign w:val="center"/>
          </w:tcPr>
          <w:p>
            <w:pPr>
              <w:pStyle w:val="TableContents"/>
              <w:bidi w:val="0"/>
              <w:jc w:val="end"/>
              <w:rPr/>
            </w:pPr>
            <w:r>
              <w:rPr/>
              <w:t>75.47</w:t>
            </w:r>
          </w:p>
        </w:tc>
      </w:tr>
      <w:tr>
        <w:trPr/>
        <w:tc>
          <w:tcPr>
            <w:tcW w:w="2035" w:type="dxa"/>
            <w:tcBorders/>
            <w:vAlign w:val="center"/>
          </w:tcPr>
          <w:p>
            <w:pPr>
              <w:pStyle w:val="TableContents"/>
              <w:widowControl w:val="false"/>
              <w:suppressLineNumbers/>
              <w:bidi w:val="0"/>
              <w:jc w:val="start"/>
              <w:rPr/>
            </w:pPr>
            <w:r>
              <w:rPr/>
              <w:t>Random Forest</w:t>
            </w:r>
          </w:p>
        </w:tc>
        <w:tc>
          <w:tcPr>
            <w:tcW w:w="1538" w:type="dxa"/>
            <w:tcBorders/>
            <w:vAlign w:val="center"/>
          </w:tcPr>
          <w:p>
            <w:pPr>
              <w:pStyle w:val="TableContents"/>
              <w:bidi w:val="0"/>
              <w:jc w:val="end"/>
              <w:rPr>
                <w:b/>
                <w:bCs/>
              </w:rPr>
            </w:pPr>
            <w:r>
              <w:rPr>
                <w:b/>
                <w:bCs/>
              </w:rPr>
              <w:t>88.33</w:t>
            </w:r>
          </w:p>
        </w:tc>
        <w:tc>
          <w:tcPr>
            <w:tcW w:w="1509" w:type="dxa"/>
            <w:tcBorders/>
            <w:vAlign w:val="center"/>
          </w:tcPr>
          <w:p>
            <w:pPr>
              <w:pStyle w:val="TableContents"/>
              <w:bidi w:val="0"/>
              <w:jc w:val="end"/>
              <w:rPr/>
            </w:pPr>
            <w:r>
              <w:rPr/>
              <w:t>84.00</w:t>
            </w:r>
          </w:p>
        </w:tc>
        <w:tc>
          <w:tcPr>
            <w:tcW w:w="1205" w:type="dxa"/>
            <w:tcBorders/>
            <w:vAlign w:val="center"/>
          </w:tcPr>
          <w:p>
            <w:pPr>
              <w:pStyle w:val="TableContents"/>
              <w:bidi w:val="0"/>
              <w:jc w:val="end"/>
              <w:rPr/>
            </w:pPr>
            <w:r>
              <w:rPr/>
              <w:t>87.50</w:t>
            </w:r>
          </w:p>
        </w:tc>
        <w:tc>
          <w:tcPr>
            <w:tcW w:w="1528" w:type="dxa"/>
            <w:tcBorders/>
            <w:vAlign w:val="center"/>
          </w:tcPr>
          <w:p>
            <w:pPr>
              <w:pStyle w:val="TableContents"/>
              <w:bidi w:val="0"/>
              <w:jc w:val="end"/>
              <w:rPr/>
            </w:pPr>
            <w:r>
              <w:rPr/>
              <w:t>85.71</w:t>
            </w:r>
          </w:p>
        </w:tc>
      </w:tr>
      <w:tr>
        <w:trPr/>
        <w:tc>
          <w:tcPr>
            <w:tcW w:w="2035" w:type="dxa"/>
            <w:tcBorders/>
            <w:vAlign w:val="center"/>
          </w:tcPr>
          <w:p>
            <w:pPr>
              <w:pStyle w:val="TableContents"/>
              <w:widowControl w:val="false"/>
              <w:suppressLineNumbers/>
              <w:bidi w:val="0"/>
              <w:jc w:val="start"/>
              <w:rPr/>
            </w:pPr>
            <w:r>
              <w:rPr/>
              <w:t>XGBoost</w:t>
            </w:r>
          </w:p>
        </w:tc>
        <w:tc>
          <w:tcPr>
            <w:tcW w:w="1538" w:type="dxa"/>
            <w:tcBorders/>
            <w:vAlign w:val="center"/>
          </w:tcPr>
          <w:p>
            <w:pPr>
              <w:pStyle w:val="TableContents"/>
              <w:bidi w:val="0"/>
              <w:jc w:val="end"/>
              <w:rPr/>
            </w:pPr>
            <w:r>
              <w:rPr/>
              <w:t>83.33</w:t>
            </w:r>
          </w:p>
        </w:tc>
        <w:tc>
          <w:tcPr>
            <w:tcW w:w="1509" w:type="dxa"/>
            <w:tcBorders/>
            <w:vAlign w:val="center"/>
          </w:tcPr>
          <w:p>
            <w:pPr>
              <w:pStyle w:val="TableContents"/>
              <w:bidi w:val="0"/>
              <w:jc w:val="end"/>
              <w:rPr/>
            </w:pPr>
            <w:r>
              <w:rPr/>
              <w:t>75.00</w:t>
            </w:r>
          </w:p>
        </w:tc>
        <w:tc>
          <w:tcPr>
            <w:tcW w:w="1205" w:type="dxa"/>
            <w:tcBorders/>
            <w:vAlign w:val="center"/>
          </w:tcPr>
          <w:p>
            <w:pPr>
              <w:pStyle w:val="TableContents"/>
              <w:bidi w:val="0"/>
              <w:jc w:val="end"/>
              <w:rPr/>
            </w:pPr>
            <w:r>
              <w:rPr/>
              <w:t>87.50</w:t>
            </w:r>
          </w:p>
        </w:tc>
        <w:tc>
          <w:tcPr>
            <w:tcW w:w="1528" w:type="dxa"/>
            <w:tcBorders/>
            <w:vAlign w:val="center"/>
          </w:tcPr>
          <w:p>
            <w:pPr>
              <w:pStyle w:val="TableContents"/>
              <w:bidi w:val="0"/>
              <w:jc w:val="end"/>
              <w:rPr/>
            </w:pPr>
            <w:r>
              <w:rPr/>
              <w:t>80.77</w:t>
            </w:r>
          </w:p>
        </w:tc>
      </w:tr>
    </w:tbl>
    <w:p>
      <w:pPr>
        <w:pStyle w:val="BodyText"/>
        <w:bidi w:val="0"/>
        <w:jc w:val="start"/>
        <w:rPr>
          <w:b/>
          <w:bCs/>
        </w:rPr>
      </w:pPr>
      <w:r>
        <w:rPr>
          <w:b/>
          <w:bCs/>
        </w:rPr>
        <w:drawing>
          <wp:anchor behindDoc="0" distT="0" distB="0" distL="0" distR="0" simplePos="0" locked="0" layoutInCell="0" allowOverlap="1" relativeHeight="2">
            <wp:simplePos x="0" y="0"/>
            <wp:positionH relativeFrom="column">
              <wp:posOffset>-176530</wp:posOffset>
            </wp:positionH>
            <wp:positionV relativeFrom="paragraph">
              <wp:posOffset>342265</wp:posOffset>
            </wp:positionV>
            <wp:extent cx="6120130" cy="500316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6"/>
                    <a:stretch>
                      <a:fillRect/>
                    </a:stretch>
                  </pic:blipFill>
                  <pic:spPr bwMode="auto">
                    <a:xfrm>
                      <a:off x="0" y="0"/>
                      <a:ext cx="6120130" cy="5003165"/>
                    </a:xfrm>
                    <a:prstGeom prst="rect">
                      <a:avLst/>
                    </a:prstGeom>
                  </pic:spPr>
                </pic:pic>
              </a:graphicData>
            </a:graphic>
          </wp:anchor>
        </w:drawing>
      </w:r>
    </w:p>
    <w:p>
      <w:pPr>
        <w:pStyle w:val="BodyText"/>
        <w:bidi w:val="0"/>
        <w:jc w:val="start"/>
        <w:rPr>
          <w:b/>
          <w:bCs/>
        </w:rPr>
      </w:pPr>
      <w:r>
        <w:rPr>
          <w:b/>
          <w:bCs/>
        </w:rPr>
      </w:r>
    </w:p>
    <w:p>
      <w:pPr>
        <w:pStyle w:val="BodyText"/>
        <w:bidi w:val="0"/>
        <w:jc w:val="start"/>
        <w:rPr>
          <w:b/>
          <w:bCs/>
        </w:rPr>
      </w:pPr>
      <w:r>
        <w:rPr>
          <w:b/>
          <w:bCs/>
        </w:rPr>
      </w:r>
      <w:r>
        <w:br w:type="page"/>
      </w:r>
    </w:p>
    <w:p>
      <w:pPr>
        <w:pStyle w:val="BodyText"/>
        <w:bidi w:val="0"/>
        <w:spacing w:before="0" w:after="140"/>
        <w:jc w:val="start"/>
        <w:rPr>
          <w:b/>
          <w:bCs/>
        </w:rPr>
      </w:pPr>
      <w:r>
        <w:rPr>
          <w:b/>
          <w:bCs/>
        </w:rPr>
        <w:t>The Bigger Kaggle Dataset:</w:t>
      </w:r>
    </w:p>
    <w:p>
      <w:pPr>
        <w:pStyle w:val="BodyText"/>
        <w:bidi w:val="0"/>
        <w:jc w:val="start"/>
        <w:rPr>
          <w:b w:val="false"/>
          <w:bCs w:val="false"/>
        </w:rPr>
      </w:pPr>
      <w:r>
        <w:rPr>
          <w:b w:val="false"/>
          <w:bCs w:val="false"/>
        </w:rPr>
        <w:t>The Kaggle dataset provided the best results due to its larger sample size (1,190 records). Random Forest claimed its title as the overall best model here. RF achieved a project-high 94.54% accuracy.</w:t>
      </w:r>
    </w:p>
    <w:tbl>
      <w:tblPr>
        <w:tblW w:w="7815" w:type="dxa"/>
        <w:jc w:val="start"/>
        <w:tblInd w:w="0" w:type="dxa"/>
        <w:tblLayout w:type="fixed"/>
        <w:tblCellMar>
          <w:top w:w="28" w:type="dxa"/>
          <w:start w:w="28" w:type="dxa"/>
          <w:bottom w:w="28" w:type="dxa"/>
          <w:end w:w="28" w:type="dxa"/>
        </w:tblCellMar>
      </w:tblPr>
      <w:tblGrid>
        <w:gridCol w:w="2035"/>
        <w:gridCol w:w="1538"/>
        <w:gridCol w:w="1509"/>
        <w:gridCol w:w="1205"/>
        <w:gridCol w:w="1528"/>
      </w:tblGrid>
      <w:tr>
        <w:trPr>
          <w:tblHeader w:val="true"/>
        </w:trPr>
        <w:tc>
          <w:tcPr>
            <w:tcW w:w="2035" w:type="dxa"/>
            <w:tcBorders/>
            <w:vAlign w:val="center"/>
          </w:tcPr>
          <w:p>
            <w:pPr>
              <w:pStyle w:val="TableHeading"/>
              <w:suppressLineNumbers/>
              <w:bidi w:val="0"/>
              <w:jc w:val="center"/>
              <w:rPr/>
            </w:pPr>
            <w:r>
              <w:rPr/>
              <w:t>Model</w:t>
            </w:r>
          </w:p>
        </w:tc>
        <w:tc>
          <w:tcPr>
            <w:tcW w:w="1538" w:type="dxa"/>
            <w:tcBorders/>
            <w:vAlign w:val="center"/>
          </w:tcPr>
          <w:p>
            <w:pPr>
              <w:pStyle w:val="TableHeading"/>
              <w:bidi w:val="0"/>
              <w:jc w:val="end"/>
              <w:rPr/>
            </w:pPr>
            <w:r>
              <w:rPr/>
              <w:t>Accuracy (%)</w:t>
            </w:r>
          </w:p>
        </w:tc>
        <w:tc>
          <w:tcPr>
            <w:tcW w:w="1509" w:type="dxa"/>
            <w:tcBorders/>
            <w:vAlign w:val="center"/>
          </w:tcPr>
          <w:p>
            <w:pPr>
              <w:pStyle w:val="TableHeading"/>
              <w:bidi w:val="0"/>
              <w:jc w:val="end"/>
              <w:rPr/>
            </w:pPr>
            <w:r>
              <w:rPr/>
              <w:t>Precision (%)</w:t>
            </w:r>
          </w:p>
        </w:tc>
        <w:tc>
          <w:tcPr>
            <w:tcW w:w="1205" w:type="dxa"/>
            <w:tcBorders/>
            <w:vAlign w:val="center"/>
          </w:tcPr>
          <w:p>
            <w:pPr>
              <w:pStyle w:val="TableHeading"/>
              <w:bidi w:val="0"/>
              <w:jc w:val="end"/>
              <w:rPr/>
            </w:pPr>
            <w:r>
              <w:rPr/>
              <w:t>Recall (%)</w:t>
            </w:r>
          </w:p>
        </w:tc>
        <w:tc>
          <w:tcPr>
            <w:tcW w:w="1528" w:type="dxa"/>
            <w:tcBorders/>
            <w:vAlign w:val="center"/>
          </w:tcPr>
          <w:p>
            <w:pPr>
              <w:pStyle w:val="TableHeading"/>
              <w:bidi w:val="0"/>
              <w:jc w:val="end"/>
              <w:rPr/>
            </w:pPr>
            <w:r>
              <w:rPr/>
              <w:t>F1-Score (%)</w:t>
            </w:r>
          </w:p>
        </w:tc>
      </w:tr>
      <w:tr>
        <w:trPr/>
        <w:tc>
          <w:tcPr>
            <w:tcW w:w="2035" w:type="dxa"/>
            <w:tcBorders/>
            <w:vAlign w:val="center"/>
          </w:tcPr>
          <w:p>
            <w:pPr>
              <w:pStyle w:val="TableContents"/>
              <w:widowControl w:val="false"/>
              <w:suppressLineNumbers/>
              <w:bidi w:val="0"/>
              <w:jc w:val="start"/>
              <w:rPr/>
            </w:pPr>
            <w:r>
              <w:rPr/>
              <w:t>Logistic Regression</w:t>
            </w:r>
          </w:p>
        </w:tc>
        <w:tc>
          <w:tcPr>
            <w:tcW w:w="1538" w:type="dxa"/>
            <w:tcBorders/>
            <w:vAlign w:val="center"/>
          </w:tcPr>
          <w:p>
            <w:pPr>
              <w:pStyle w:val="TableContents"/>
              <w:bidi w:val="0"/>
              <w:jc w:val="end"/>
              <w:rPr/>
            </w:pPr>
            <w:r>
              <w:rPr/>
              <w:t>86.13</w:t>
            </w:r>
          </w:p>
        </w:tc>
        <w:tc>
          <w:tcPr>
            <w:tcW w:w="1509" w:type="dxa"/>
            <w:tcBorders/>
            <w:vAlign w:val="center"/>
          </w:tcPr>
          <w:p>
            <w:pPr>
              <w:pStyle w:val="TableContents"/>
              <w:bidi w:val="0"/>
              <w:jc w:val="end"/>
              <w:rPr/>
            </w:pPr>
            <w:r>
              <w:rPr/>
              <w:t>87.12</w:t>
            </w:r>
          </w:p>
        </w:tc>
        <w:tc>
          <w:tcPr>
            <w:tcW w:w="1205" w:type="dxa"/>
            <w:tcBorders/>
            <w:vAlign w:val="center"/>
          </w:tcPr>
          <w:p>
            <w:pPr>
              <w:pStyle w:val="TableContents"/>
              <w:bidi w:val="0"/>
              <w:jc w:val="end"/>
              <w:rPr/>
            </w:pPr>
            <w:r>
              <w:rPr/>
              <w:t>87.79</w:t>
            </w:r>
          </w:p>
        </w:tc>
        <w:tc>
          <w:tcPr>
            <w:tcW w:w="1528" w:type="dxa"/>
            <w:tcBorders/>
            <w:vAlign w:val="center"/>
          </w:tcPr>
          <w:p>
            <w:pPr>
              <w:pStyle w:val="TableContents"/>
              <w:bidi w:val="0"/>
              <w:jc w:val="end"/>
              <w:rPr/>
            </w:pPr>
            <w:r>
              <w:rPr/>
              <w:t>87.45</w:t>
            </w:r>
          </w:p>
        </w:tc>
      </w:tr>
      <w:tr>
        <w:trPr/>
        <w:tc>
          <w:tcPr>
            <w:tcW w:w="2035" w:type="dxa"/>
            <w:tcBorders/>
            <w:vAlign w:val="center"/>
          </w:tcPr>
          <w:p>
            <w:pPr>
              <w:pStyle w:val="TableContents"/>
              <w:widowControl w:val="false"/>
              <w:suppressLineNumbers/>
              <w:bidi w:val="0"/>
              <w:jc w:val="start"/>
              <w:rPr/>
            </w:pPr>
            <w:r>
              <w:rPr/>
              <w:t>KNN</w:t>
            </w:r>
          </w:p>
        </w:tc>
        <w:tc>
          <w:tcPr>
            <w:tcW w:w="1538" w:type="dxa"/>
            <w:tcBorders/>
            <w:vAlign w:val="center"/>
          </w:tcPr>
          <w:p>
            <w:pPr>
              <w:pStyle w:val="TableContents"/>
              <w:bidi w:val="0"/>
              <w:jc w:val="end"/>
              <w:rPr/>
            </w:pPr>
            <w:r>
              <w:rPr/>
              <w:t>88.66</w:t>
            </w:r>
          </w:p>
        </w:tc>
        <w:tc>
          <w:tcPr>
            <w:tcW w:w="1509" w:type="dxa"/>
            <w:tcBorders/>
            <w:vAlign w:val="center"/>
          </w:tcPr>
          <w:p>
            <w:pPr>
              <w:pStyle w:val="TableContents"/>
              <w:bidi w:val="0"/>
              <w:jc w:val="end"/>
              <w:rPr/>
            </w:pPr>
            <w:r>
              <w:rPr/>
              <w:t>87.14</w:t>
            </w:r>
          </w:p>
        </w:tc>
        <w:tc>
          <w:tcPr>
            <w:tcW w:w="1205" w:type="dxa"/>
            <w:tcBorders/>
            <w:vAlign w:val="center"/>
          </w:tcPr>
          <w:p>
            <w:pPr>
              <w:pStyle w:val="TableContents"/>
              <w:bidi w:val="0"/>
              <w:jc w:val="end"/>
              <w:rPr/>
            </w:pPr>
            <w:r>
              <w:rPr/>
              <w:t>93.13</w:t>
            </w:r>
          </w:p>
        </w:tc>
        <w:tc>
          <w:tcPr>
            <w:tcW w:w="1528" w:type="dxa"/>
            <w:tcBorders/>
            <w:vAlign w:val="center"/>
          </w:tcPr>
          <w:p>
            <w:pPr>
              <w:pStyle w:val="TableContents"/>
              <w:bidi w:val="0"/>
              <w:jc w:val="end"/>
              <w:rPr/>
            </w:pPr>
            <w:r>
              <w:rPr/>
              <w:t>90.04</w:t>
            </w:r>
          </w:p>
        </w:tc>
      </w:tr>
      <w:tr>
        <w:trPr/>
        <w:tc>
          <w:tcPr>
            <w:tcW w:w="2035" w:type="dxa"/>
            <w:tcBorders/>
            <w:vAlign w:val="center"/>
          </w:tcPr>
          <w:p>
            <w:pPr>
              <w:pStyle w:val="TableContents"/>
              <w:widowControl w:val="false"/>
              <w:suppressLineNumbers/>
              <w:bidi w:val="0"/>
              <w:jc w:val="start"/>
              <w:rPr/>
            </w:pPr>
            <w:r>
              <w:rPr/>
              <w:t>SVM</w:t>
            </w:r>
          </w:p>
        </w:tc>
        <w:tc>
          <w:tcPr>
            <w:tcW w:w="1538" w:type="dxa"/>
            <w:tcBorders/>
            <w:vAlign w:val="center"/>
          </w:tcPr>
          <w:p>
            <w:pPr>
              <w:pStyle w:val="TableContents"/>
              <w:bidi w:val="0"/>
              <w:jc w:val="end"/>
              <w:rPr/>
            </w:pPr>
            <w:r>
              <w:rPr/>
              <w:t>89.08</w:t>
            </w:r>
          </w:p>
        </w:tc>
        <w:tc>
          <w:tcPr>
            <w:tcW w:w="1509" w:type="dxa"/>
            <w:tcBorders/>
            <w:vAlign w:val="center"/>
          </w:tcPr>
          <w:p>
            <w:pPr>
              <w:pStyle w:val="TableContents"/>
              <w:bidi w:val="0"/>
              <w:jc w:val="end"/>
              <w:rPr/>
            </w:pPr>
            <w:r>
              <w:rPr/>
              <w:t>86.71</w:t>
            </w:r>
          </w:p>
        </w:tc>
        <w:tc>
          <w:tcPr>
            <w:tcW w:w="1205" w:type="dxa"/>
            <w:tcBorders/>
            <w:vAlign w:val="center"/>
          </w:tcPr>
          <w:p>
            <w:pPr>
              <w:pStyle w:val="TableContents"/>
              <w:bidi w:val="0"/>
              <w:jc w:val="end"/>
              <w:rPr/>
            </w:pPr>
            <w:r>
              <w:rPr/>
              <w:t>94.66</w:t>
            </w:r>
          </w:p>
        </w:tc>
        <w:tc>
          <w:tcPr>
            <w:tcW w:w="1528" w:type="dxa"/>
            <w:tcBorders/>
            <w:vAlign w:val="center"/>
          </w:tcPr>
          <w:p>
            <w:pPr>
              <w:pStyle w:val="TableContents"/>
              <w:bidi w:val="0"/>
              <w:jc w:val="end"/>
              <w:rPr/>
            </w:pPr>
            <w:r>
              <w:rPr/>
              <w:t>90.51</w:t>
            </w:r>
          </w:p>
        </w:tc>
      </w:tr>
      <w:tr>
        <w:trPr/>
        <w:tc>
          <w:tcPr>
            <w:tcW w:w="2035" w:type="dxa"/>
            <w:tcBorders/>
            <w:vAlign w:val="center"/>
          </w:tcPr>
          <w:p>
            <w:pPr>
              <w:pStyle w:val="TableContents"/>
              <w:widowControl w:val="false"/>
              <w:suppressLineNumbers/>
              <w:bidi w:val="0"/>
              <w:jc w:val="start"/>
              <w:rPr/>
            </w:pPr>
            <w:r>
              <w:rPr/>
              <w:t>Naive Bayes</w:t>
            </w:r>
          </w:p>
        </w:tc>
        <w:tc>
          <w:tcPr>
            <w:tcW w:w="1538" w:type="dxa"/>
            <w:tcBorders/>
            <w:vAlign w:val="center"/>
          </w:tcPr>
          <w:p>
            <w:pPr>
              <w:pStyle w:val="TableContents"/>
              <w:bidi w:val="0"/>
              <w:jc w:val="end"/>
              <w:rPr/>
            </w:pPr>
            <w:r>
              <w:rPr/>
              <w:t>85.71</w:t>
            </w:r>
          </w:p>
        </w:tc>
        <w:tc>
          <w:tcPr>
            <w:tcW w:w="1509" w:type="dxa"/>
            <w:tcBorders/>
            <w:vAlign w:val="center"/>
          </w:tcPr>
          <w:p>
            <w:pPr>
              <w:pStyle w:val="TableContents"/>
              <w:bidi w:val="0"/>
              <w:jc w:val="end"/>
              <w:rPr/>
            </w:pPr>
            <w:r>
              <w:rPr/>
              <w:t>86.47</w:t>
            </w:r>
          </w:p>
        </w:tc>
        <w:tc>
          <w:tcPr>
            <w:tcW w:w="1205" w:type="dxa"/>
            <w:tcBorders/>
            <w:vAlign w:val="center"/>
          </w:tcPr>
          <w:p>
            <w:pPr>
              <w:pStyle w:val="TableContents"/>
              <w:bidi w:val="0"/>
              <w:jc w:val="end"/>
              <w:rPr/>
            </w:pPr>
            <w:r>
              <w:rPr/>
              <w:t>87.79</w:t>
            </w:r>
          </w:p>
        </w:tc>
        <w:tc>
          <w:tcPr>
            <w:tcW w:w="1528" w:type="dxa"/>
            <w:tcBorders/>
            <w:vAlign w:val="center"/>
          </w:tcPr>
          <w:p>
            <w:pPr>
              <w:pStyle w:val="TableContents"/>
              <w:bidi w:val="0"/>
              <w:jc w:val="end"/>
              <w:rPr/>
            </w:pPr>
            <w:r>
              <w:rPr/>
              <w:t>87.12</w:t>
            </w:r>
          </w:p>
        </w:tc>
      </w:tr>
      <w:tr>
        <w:trPr/>
        <w:tc>
          <w:tcPr>
            <w:tcW w:w="2035" w:type="dxa"/>
            <w:tcBorders/>
            <w:vAlign w:val="center"/>
          </w:tcPr>
          <w:p>
            <w:pPr>
              <w:pStyle w:val="TableContents"/>
              <w:widowControl w:val="false"/>
              <w:suppressLineNumbers/>
              <w:bidi w:val="0"/>
              <w:jc w:val="start"/>
              <w:rPr/>
            </w:pPr>
            <w:r>
              <w:rPr/>
              <w:t>Decision Tree</w:t>
            </w:r>
          </w:p>
        </w:tc>
        <w:tc>
          <w:tcPr>
            <w:tcW w:w="1538" w:type="dxa"/>
            <w:tcBorders/>
            <w:vAlign w:val="center"/>
          </w:tcPr>
          <w:p>
            <w:pPr>
              <w:pStyle w:val="TableContents"/>
              <w:bidi w:val="0"/>
              <w:jc w:val="end"/>
              <w:rPr/>
            </w:pPr>
            <w:r>
              <w:rPr/>
              <w:t>90.34</w:t>
            </w:r>
          </w:p>
        </w:tc>
        <w:tc>
          <w:tcPr>
            <w:tcW w:w="1509" w:type="dxa"/>
            <w:tcBorders/>
            <w:vAlign w:val="center"/>
          </w:tcPr>
          <w:p>
            <w:pPr>
              <w:pStyle w:val="TableContents"/>
              <w:bidi w:val="0"/>
              <w:jc w:val="end"/>
              <w:rPr/>
            </w:pPr>
            <w:r>
              <w:rPr/>
              <w:t>93.55</w:t>
            </w:r>
          </w:p>
        </w:tc>
        <w:tc>
          <w:tcPr>
            <w:tcW w:w="1205" w:type="dxa"/>
            <w:tcBorders/>
            <w:vAlign w:val="center"/>
          </w:tcPr>
          <w:p>
            <w:pPr>
              <w:pStyle w:val="TableContents"/>
              <w:bidi w:val="0"/>
              <w:jc w:val="end"/>
              <w:rPr/>
            </w:pPr>
            <w:r>
              <w:rPr/>
              <w:t>88.55</w:t>
            </w:r>
          </w:p>
        </w:tc>
        <w:tc>
          <w:tcPr>
            <w:tcW w:w="1528" w:type="dxa"/>
            <w:tcBorders/>
            <w:vAlign w:val="center"/>
          </w:tcPr>
          <w:p>
            <w:pPr>
              <w:pStyle w:val="TableContents"/>
              <w:bidi w:val="0"/>
              <w:jc w:val="end"/>
              <w:rPr/>
            </w:pPr>
            <w:r>
              <w:rPr/>
              <w:t>90.98</w:t>
            </w:r>
          </w:p>
        </w:tc>
      </w:tr>
      <w:tr>
        <w:trPr/>
        <w:tc>
          <w:tcPr>
            <w:tcW w:w="2035" w:type="dxa"/>
            <w:tcBorders/>
            <w:vAlign w:val="center"/>
          </w:tcPr>
          <w:p>
            <w:pPr>
              <w:pStyle w:val="TableContents"/>
              <w:widowControl w:val="false"/>
              <w:suppressLineNumbers/>
              <w:bidi w:val="0"/>
              <w:jc w:val="start"/>
              <w:rPr/>
            </w:pPr>
            <w:r>
              <w:rPr/>
              <w:t>Random Forest</w:t>
            </w:r>
          </w:p>
        </w:tc>
        <w:tc>
          <w:tcPr>
            <w:tcW w:w="1538" w:type="dxa"/>
            <w:tcBorders/>
            <w:vAlign w:val="center"/>
          </w:tcPr>
          <w:p>
            <w:pPr>
              <w:pStyle w:val="TableContents"/>
              <w:bidi w:val="0"/>
              <w:jc w:val="end"/>
              <w:rPr>
                <w:b/>
                <w:bCs/>
              </w:rPr>
            </w:pPr>
            <w:r>
              <w:rPr>
                <w:b/>
                <w:bCs/>
              </w:rPr>
              <w:t>94.54</w:t>
            </w:r>
          </w:p>
        </w:tc>
        <w:tc>
          <w:tcPr>
            <w:tcW w:w="1509" w:type="dxa"/>
            <w:tcBorders/>
            <w:vAlign w:val="center"/>
          </w:tcPr>
          <w:p>
            <w:pPr>
              <w:pStyle w:val="TableContents"/>
              <w:bidi w:val="0"/>
              <w:jc w:val="end"/>
              <w:rPr/>
            </w:pPr>
            <w:r>
              <w:rPr/>
              <w:t>93.38</w:t>
            </w:r>
          </w:p>
        </w:tc>
        <w:tc>
          <w:tcPr>
            <w:tcW w:w="1205" w:type="dxa"/>
            <w:tcBorders/>
            <w:vAlign w:val="center"/>
          </w:tcPr>
          <w:p>
            <w:pPr>
              <w:pStyle w:val="TableContents"/>
              <w:bidi w:val="0"/>
              <w:jc w:val="end"/>
              <w:rPr/>
            </w:pPr>
            <w:r>
              <w:rPr/>
              <w:t>96.95</w:t>
            </w:r>
          </w:p>
        </w:tc>
        <w:tc>
          <w:tcPr>
            <w:tcW w:w="1528" w:type="dxa"/>
            <w:tcBorders/>
            <w:vAlign w:val="center"/>
          </w:tcPr>
          <w:p>
            <w:pPr>
              <w:pStyle w:val="TableContents"/>
              <w:bidi w:val="0"/>
              <w:jc w:val="end"/>
              <w:rPr/>
            </w:pPr>
            <w:r>
              <w:rPr/>
              <w:t>95.13</w:t>
            </w:r>
          </w:p>
        </w:tc>
      </w:tr>
      <w:tr>
        <w:trPr/>
        <w:tc>
          <w:tcPr>
            <w:tcW w:w="2035" w:type="dxa"/>
            <w:tcBorders/>
            <w:vAlign w:val="center"/>
          </w:tcPr>
          <w:p>
            <w:pPr>
              <w:pStyle w:val="TableContents"/>
              <w:widowControl w:val="false"/>
              <w:suppressLineNumbers/>
              <w:bidi w:val="0"/>
              <w:jc w:val="start"/>
              <w:rPr/>
            </w:pPr>
            <w:r>
              <w:rPr/>
              <w:t>XGBoost</w:t>
            </w:r>
          </w:p>
        </w:tc>
        <w:tc>
          <w:tcPr>
            <w:tcW w:w="1538" w:type="dxa"/>
            <w:tcBorders/>
            <w:vAlign w:val="center"/>
          </w:tcPr>
          <w:p>
            <w:pPr>
              <w:pStyle w:val="TableContents"/>
              <w:bidi w:val="0"/>
              <w:jc w:val="end"/>
              <w:rPr/>
            </w:pPr>
            <w:r>
              <w:rPr/>
              <w:t>92.86</w:t>
            </w:r>
          </w:p>
        </w:tc>
        <w:tc>
          <w:tcPr>
            <w:tcW w:w="1509" w:type="dxa"/>
            <w:tcBorders/>
            <w:vAlign w:val="center"/>
          </w:tcPr>
          <w:p>
            <w:pPr>
              <w:pStyle w:val="TableContents"/>
              <w:bidi w:val="0"/>
              <w:jc w:val="end"/>
              <w:rPr/>
            </w:pPr>
            <w:r>
              <w:rPr/>
              <w:t>92.54</w:t>
            </w:r>
          </w:p>
        </w:tc>
        <w:tc>
          <w:tcPr>
            <w:tcW w:w="1205" w:type="dxa"/>
            <w:tcBorders/>
            <w:vAlign w:val="center"/>
          </w:tcPr>
          <w:p>
            <w:pPr>
              <w:pStyle w:val="TableContents"/>
              <w:bidi w:val="0"/>
              <w:jc w:val="end"/>
              <w:rPr/>
            </w:pPr>
            <w:r>
              <w:rPr/>
              <w:t>94.66</w:t>
            </w:r>
          </w:p>
        </w:tc>
        <w:tc>
          <w:tcPr>
            <w:tcW w:w="1528" w:type="dxa"/>
            <w:tcBorders/>
            <w:vAlign w:val="center"/>
          </w:tcPr>
          <w:p>
            <w:pPr>
              <w:pStyle w:val="TableContents"/>
              <w:bidi w:val="0"/>
              <w:jc w:val="end"/>
              <w:rPr/>
            </w:pPr>
            <w:r>
              <w:rPr/>
              <w:t>93.58</w:t>
            </w:r>
          </w:p>
        </w:tc>
      </w:tr>
    </w:tbl>
    <w:p>
      <w:pPr>
        <w:pStyle w:val="BodyText"/>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posOffset>-69850</wp:posOffset>
            </wp:positionH>
            <wp:positionV relativeFrom="paragraph">
              <wp:posOffset>70485</wp:posOffset>
            </wp:positionV>
            <wp:extent cx="4014470" cy="301117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7"/>
                    <a:stretch>
                      <a:fillRect/>
                    </a:stretch>
                  </pic:blipFill>
                  <pic:spPr bwMode="auto">
                    <a:xfrm>
                      <a:off x="0" y="0"/>
                      <a:ext cx="4014470" cy="301117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posOffset>-69850</wp:posOffset>
            </wp:positionH>
            <wp:positionV relativeFrom="paragraph">
              <wp:posOffset>2210435</wp:posOffset>
            </wp:positionV>
            <wp:extent cx="4014470" cy="334581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8"/>
                    <a:stretch>
                      <a:fillRect/>
                    </a:stretch>
                  </pic:blipFill>
                  <pic:spPr bwMode="auto">
                    <a:xfrm>
                      <a:off x="0" y="0"/>
                      <a:ext cx="4014470" cy="3345815"/>
                    </a:xfrm>
                    <a:prstGeom prst="rect">
                      <a:avLst/>
                    </a:prstGeom>
                  </pic:spPr>
                </pic:pic>
              </a:graphicData>
            </a:graphic>
          </wp:anchor>
        </w:drawing>
      </w:r>
      <w:r>
        <w:br w:type="page"/>
      </w:r>
    </w:p>
    <w:p>
      <w:pPr>
        <w:pStyle w:val="BodyText"/>
        <w:bidi w:val="0"/>
        <w:spacing w:before="0" w:after="140"/>
        <w:jc w:val="start"/>
        <w:rPr>
          <w:b/>
          <w:bCs/>
        </w:rPr>
      </w:pPr>
      <w:r>
        <w:rPr>
          <w:b/>
          <w:bCs/>
        </w:rPr>
        <w:t>The worst accuracy: D1 - Hungarian (All dropped), Naive Bayes</w:t>
      </w:r>
    </w:p>
    <w:p>
      <w:pPr>
        <w:pStyle w:val="BodyText"/>
        <w:bidi w:val="0"/>
        <w:jc w:val="start"/>
        <w:rPr>
          <w:b w:val="false"/>
          <w:bCs w:val="false"/>
        </w:rPr>
      </w:pPr>
      <w:r>
        <w:rPr>
          <w:b w:val="false"/>
          <w:bCs w:val="false"/>
        </w:rPr>
        <w:t>This dataset represents the most aggressive form of data reduction, where all patients with missing values were removed and two columns (ca and thal) were deleted entirely. This resulted in a significantly smaller sample size, causing simpler probabilistic models like Naive Bayes to fail to find a meaningful pattern, leading to the lowest accuracy recorded in the entire study (47.37%).</w:t>
      </w:r>
    </w:p>
    <w:tbl>
      <w:tblPr>
        <w:tblW w:w="7815" w:type="dxa"/>
        <w:jc w:val="start"/>
        <w:tblInd w:w="0" w:type="dxa"/>
        <w:tblLayout w:type="fixed"/>
        <w:tblCellMar>
          <w:top w:w="28" w:type="dxa"/>
          <w:start w:w="28" w:type="dxa"/>
          <w:bottom w:w="28" w:type="dxa"/>
          <w:end w:w="28" w:type="dxa"/>
        </w:tblCellMar>
      </w:tblPr>
      <w:tblGrid>
        <w:gridCol w:w="2035"/>
        <w:gridCol w:w="1538"/>
        <w:gridCol w:w="1509"/>
        <w:gridCol w:w="1205"/>
        <w:gridCol w:w="1528"/>
      </w:tblGrid>
      <w:tr>
        <w:trPr>
          <w:tblHeader w:val="true"/>
        </w:trPr>
        <w:tc>
          <w:tcPr>
            <w:tcW w:w="2035" w:type="dxa"/>
            <w:tcBorders/>
            <w:vAlign w:val="center"/>
          </w:tcPr>
          <w:p>
            <w:pPr>
              <w:pStyle w:val="TableHeading"/>
              <w:suppressLineNumbers/>
              <w:bidi w:val="0"/>
              <w:jc w:val="center"/>
              <w:rPr/>
            </w:pPr>
            <w:r>
              <w:rPr/>
              <w:t>Model</w:t>
            </w:r>
          </w:p>
        </w:tc>
        <w:tc>
          <w:tcPr>
            <w:tcW w:w="1538" w:type="dxa"/>
            <w:tcBorders/>
            <w:vAlign w:val="center"/>
          </w:tcPr>
          <w:p>
            <w:pPr>
              <w:pStyle w:val="TableHeading"/>
              <w:bidi w:val="0"/>
              <w:jc w:val="end"/>
              <w:rPr/>
            </w:pPr>
            <w:r>
              <w:rPr/>
              <w:t>Accuracy (%)</w:t>
            </w:r>
          </w:p>
        </w:tc>
        <w:tc>
          <w:tcPr>
            <w:tcW w:w="1509" w:type="dxa"/>
            <w:tcBorders/>
            <w:vAlign w:val="center"/>
          </w:tcPr>
          <w:p>
            <w:pPr>
              <w:pStyle w:val="TableHeading"/>
              <w:bidi w:val="0"/>
              <w:jc w:val="end"/>
              <w:rPr/>
            </w:pPr>
            <w:r>
              <w:rPr/>
              <w:t>Precision (%)</w:t>
            </w:r>
          </w:p>
        </w:tc>
        <w:tc>
          <w:tcPr>
            <w:tcW w:w="1205" w:type="dxa"/>
            <w:tcBorders/>
            <w:vAlign w:val="center"/>
          </w:tcPr>
          <w:p>
            <w:pPr>
              <w:pStyle w:val="TableHeading"/>
              <w:bidi w:val="0"/>
              <w:jc w:val="end"/>
              <w:rPr/>
            </w:pPr>
            <w:r>
              <w:rPr/>
              <w:t>Recall (%)</w:t>
            </w:r>
          </w:p>
        </w:tc>
        <w:tc>
          <w:tcPr>
            <w:tcW w:w="1528" w:type="dxa"/>
            <w:tcBorders/>
            <w:vAlign w:val="center"/>
          </w:tcPr>
          <w:p>
            <w:pPr>
              <w:pStyle w:val="TableHeading"/>
              <w:bidi w:val="0"/>
              <w:jc w:val="end"/>
              <w:rPr/>
            </w:pPr>
            <w:r>
              <w:rPr/>
              <w:t>F1-Score (%)</w:t>
            </w:r>
          </w:p>
        </w:tc>
      </w:tr>
      <w:tr>
        <w:trPr/>
        <w:tc>
          <w:tcPr>
            <w:tcW w:w="2035" w:type="dxa"/>
            <w:tcBorders/>
            <w:vAlign w:val="center"/>
          </w:tcPr>
          <w:p>
            <w:pPr>
              <w:pStyle w:val="TableContents"/>
              <w:widowControl w:val="false"/>
              <w:suppressLineNumbers/>
              <w:bidi w:val="0"/>
              <w:jc w:val="start"/>
              <w:rPr/>
            </w:pPr>
            <w:r>
              <w:rPr/>
              <w:t>Logistic Regression</w:t>
            </w:r>
          </w:p>
        </w:tc>
        <w:tc>
          <w:tcPr>
            <w:tcW w:w="1538" w:type="dxa"/>
            <w:tcBorders/>
            <w:vAlign w:val="center"/>
          </w:tcPr>
          <w:p>
            <w:pPr>
              <w:pStyle w:val="TableContents"/>
              <w:bidi w:val="0"/>
              <w:jc w:val="end"/>
              <w:rPr/>
            </w:pPr>
            <w:r>
              <w:rPr/>
              <w:t>73.68</w:t>
            </w:r>
          </w:p>
        </w:tc>
        <w:tc>
          <w:tcPr>
            <w:tcW w:w="1509" w:type="dxa"/>
            <w:tcBorders/>
            <w:vAlign w:val="center"/>
          </w:tcPr>
          <w:p>
            <w:pPr>
              <w:pStyle w:val="TableContents"/>
              <w:bidi w:val="0"/>
              <w:jc w:val="end"/>
              <w:rPr/>
            </w:pPr>
            <w:r>
              <w:rPr/>
              <w:t>73.33</w:t>
            </w:r>
          </w:p>
        </w:tc>
        <w:tc>
          <w:tcPr>
            <w:tcW w:w="1205" w:type="dxa"/>
            <w:tcBorders/>
            <w:vAlign w:val="center"/>
          </w:tcPr>
          <w:p>
            <w:pPr>
              <w:pStyle w:val="TableContents"/>
              <w:bidi w:val="0"/>
              <w:jc w:val="end"/>
              <w:rPr/>
            </w:pPr>
            <w:r>
              <w:rPr/>
              <w:t>91.67</w:t>
            </w:r>
          </w:p>
        </w:tc>
        <w:tc>
          <w:tcPr>
            <w:tcW w:w="1528" w:type="dxa"/>
            <w:tcBorders/>
            <w:vAlign w:val="center"/>
          </w:tcPr>
          <w:p>
            <w:pPr>
              <w:pStyle w:val="TableContents"/>
              <w:bidi w:val="0"/>
              <w:jc w:val="end"/>
              <w:rPr/>
            </w:pPr>
            <w:r>
              <w:rPr/>
              <w:t>81.48</w:t>
            </w:r>
          </w:p>
        </w:tc>
      </w:tr>
      <w:tr>
        <w:trPr/>
        <w:tc>
          <w:tcPr>
            <w:tcW w:w="2035" w:type="dxa"/>
            <w:tcBorders/>
            <w:vAlign w:val="center"/>
          </w:tcPr>
          <w:p>
            <w:pPr>
              <w:pStyle w:val="TableContents"/>
              <w:widowControl w:val="false"/>
              <w:suppressLineNumbers/>
              <w:bidi w:val="0"/>
              <w:jc w:val="start"/>
              <w:rPr/>
            </w:pPr>
            <w:r>
              <w:rPr/>
              <w:t>KNN</w:t>
            </w:r>
          </w:p>
        </w:tc>
        <w:tc>
          <w:tcPr>
            <w:tcW w:w="1538" w:type="dxa"/>
            <w:tcBorders/>
            <w:vAlign w:val="center"/>
          </w:tcPr>
          <w:p>
            <w:pPr>
              <w:pStyle w:val="TableContents"/>
              <w:bidi w:val="0"/>
              <w:jc w:val="end"/>
              <w:rPr/>
            </w:pPr>
            <w:r>
              <w:rPr/>
              <w:t>78.95</w:t>
            </w:r>
          </w:p>
        </w:tc>
        <w:tc>
          <w:tcPr>
            <w:tcW w:w="1509" w:type="dxa"/>
            <w:tcBorders/>
            <w:vAlign w:val="center"/>
          </w:tcPr>
          <w:p>
            <w:pPr>
              <w:pStyle w:val="TableContents"/>
              <w:bidi w:val="0"/>
              <w:jc w:val="end"/>
              <w:rPr/>
            </w:pPr>
            <w:r>
              <w:rPr/>
              <w:t>78.57</w:t>
            </w:r>
          </w:p>
        </w:tc>
        <w:tc>
          <w:tcPr>
            <w:tcW w:w="1205" w:type="dxa"/>
            <w:tcBorders/>
            <w:vAlign w:val="center"/>
          </w:tcPr>
          <w:p>
            <w:pPr>
              <w:pStyle w:val="TableContents"/>
              <w:bidi w:val="0"/>
              <w:jc w:val="end"/>
              <w:rPr/>
            </w:pPr>
            <w:r>
              <w:rPr/>
              <w:t>91.67</w:t>
            </w:r>
          </w:p>
        </w:tc>
        <w:tc>
          <w:tcPr>
            <w:tcW w:w="1528" w:type="dxa"/>
            <w:tcBorders/>
            <w:vAlign w:val="center"/>
          </w:tcPr>
          <w:p>
            <w:pPr>
              <w:pStyle w:val="TableContents"/>
              <w:bidi w:val="0"/>
              <w:jc w:val="end"/>
              <w:rPr/>
            </w:pPr>
            <w:r>
              <w:rPr/>
              <w:t>84.62</w:t>
            </w:r>
          </w:p>
        </w:tc>
      </w:tr>
      <w:tr>
        <w:trPr/>
        <w:tc>
          <w:tcPr>
            <w:tcW w:w="2035" w:type="dxa"/>
            <w:tcBorders/>
            <w:vAlign w:val="center"/>
          </w:tcPr>
          <w:p>
            <w:pPr>
              <w:pStyle w:val="TableContents"/>
              <w:widowControl w:val="false"/>
              <w:suppressLineNumbers/>
              <w:bidi w:val="0"/>
              <w:jc w:val="start"/>
              <w:rPr/>
            </w:pPr>
            <w:r>
              <w:rPr/>
              <w:t>SVM</w:t>
            </w:r>
          </w:p>
        </w:tc>
        <w:tc>
          <w:tcPr>
            <w:tcW w:w="1538" w:type="dxa"/>
            <w:tcBorders/>
            <w:vAlign w:val="center"/>
          </w:tcPr>
          <w:p>
            <w:pPr>
              <w:pStyle w:val="TableContents"/>
              <w:bidi w:val="0"/>
              <w:jc w:val="end"/>
              <w:rPr/>
            </w:pPr>
            <w:r>
              <w:rPr/>
              <w:t>78.95</w:t>
            </w:r>
          </w:p>
        </w:tc>
        <w:tc>
          <w:tcPr>
            <w:tcW w:w="1509" w:type="dxa"/>
            <w:tcBorders/>
            <w:vAlign w:val="center"/>
          </w:tcPr>
          <w:p>
            <w:pPr>
              <w:pStyle w:val="TableContents"/>
              <w:bidi w:val="0"/>
              <w:jc w:val="end"/>
              <w:rPr/>
            </w:pPr>
            <w:r>
              <w:rPr/>
              <w:t>75.00</w:t>
            </w:r>
          </w:p>
        </w:tc>
        <w:tc>
          <w:tcPr>
            <w:tcW w:w="1205" w:type="dxa"/>
            <w:tcBorders/>
            <w:vAlign w:val="center"/>
          </w:tcPr>
          <w:p>
            <w:pPr>
              <w:pStyle w:val="TableContents"/>
              <w:bidi w:val="0"/>
              <w:jc w:val="end"/>
              <w:rPr/>
            </w:pPr>
            <w:r>
              <w:rPr/>
              <w:t>100.00</w:t>
            </w:r>
          </w:p>
        </w:tc>
        <w:tc>
          <w:tcPr>
            <w:tcW w:w="1528" w:type="dxa"/>
            <w:tcBorders/>
            <w:vAlign w:val="center"/>
          </w:tcPr>
          <w:p>
            <w:pPr>
              <w:pStyle w:val="TableContents"/>
              <w:bidi w:val="0"/>
              <w:jc w:val="end"/>
              <w:rPr/>
            </w:pPr>
            <w:r>
              <w:rPr/>
              <w:t>85.71</w:t>
            </w:r>
          </w:p>
        </w:tc>
      </w:tr>
      <w:tr>
        <w:trPr/>
        <w:tc>
          <w:tcPr>
            <w:tcW w:w="2035" w:type="dxa"/>
            <w:tcBorders/>
            <w:vAlign w:val="center"/>
          </w:tcPr>
          <w:p>
            <w:pPr>
              <w:pStyle w:val="TableContents"/>
              <w:widowControl w:val="false"/>
              <w:suppressLineNumbers/>
              <w:bidi w:val="0"/>
              <w:jc w:val="start"/>
              <w:rPr/>
            </w:pPr>
            <w:r>
              <w:rPr/>
              <w:t>Naive Bayes</w:t>
            </w:r>
          </w:p>
        </w:tc>
        <w:tc>
          <w:tcPr>
            <w:tcW w:w="1538" w:type="dxa"/>
            <w:tcBorders/>
            <w:vAlign w:val="center"/>
          </w:tcPr>
          <w:p>
            <w:pPr>
              <w:pStyle w:val="TableContents"/>
              <w:bidi w:val="0"/>
              <w:jc w:val="end"/>
              <w:rPr>
                <w:b/>
                <w:bCs/>
              </w:rPr>
            </w:pPr>
            <w:r>
              <w:rPr>
                <w:b/>
                <w:bCs/>
              </w:rPr>
              <w:t>47.37</w:t>
            </w:r>
          </w:p>
        </w:tc>
        <w:tc>
          <w:tcPr>
            <w:tcW w:w="1509" w:type="dxa"/>
            <w:tcBorders/>
            <w:vAlign w:val="center"/>
          </w:tcPr>
          <w:p>
            <w:pPr>
              <w:pStyle w:val="TableContents"/>
              <w:bidi w:val="0"/>
              <w:jc w:val="end"/>
              <w:rPr/>
            </w:pPr>
            <w:r>
              <w:rPr/>
              <w:t>100.00</w:t>
            </w:r>
          </w:p>
        </w:tc>
        <w:tc>
          <w:tcPr>
            <w:tcW w:w="1205" w:type="dxa"/>
            <w:tcBorders/>
            <w:vAlign w:val="center"/>
          </w:tcPr>
          <w:p>
            <w:pPr>
              <w:pStyle w:val="TableContents"/>
              <w:bidi w:val="0"/>
              <w:jc w:val="end"/>
              <w:rPr/>
            </w:pPr>
            <w:r>
              <w:rPr/>
              <w:t>16.67</w:t>
            </w:r>
          </w:p>
        </w:tc>
        <w:tc>
          <w:tcPr>
            <w:tcW w:w="1528" w:type="dxa"/>
            <w:tcBorders/>
            <w:vAlign w:val="center"/>
          </w:tcPr>
          <w:p>
            <w:pPr>
              <w:pStyle w:val="TableContents"/>
              <w:bidi w:val="0"/>
              <w:jc w:val="end"/>
              <w:rPr/>
            </w:pPr>
            <w:r>
              <w:rPr/>
              <w:t>28.57</w:t>
            </w:r>
          </w:p>
        </w:tc>
      </w:tr>
      <w:tr>
        <w:trPr/>
        <w:tc>
          <w:tcPr>
            <w:tcW w:w="2035" w:type="dxa"/>
            <w:tcBorders/>
            <w:vAlign w:val="center"/>
          </w:tcPr>
          <w:p>
            <w:pPr>
              <w:pStyle w:val="TableContents"/>
              <w:widowControl w:val="false"/>
              <w:suppressLineNumbers/>
              <w:bidi w:val="0"/>
              <w:jc w:val="start"/>
              <w:rPr/>
            </w:pPr>
            <w:r>
              <w:rPr/>
              <w:t>Decision Tree</w:t>
            </w:r>
          </w:p>
        </w:tc>
        <w:tc>
          <w:tcPr>
            <w:tcW w:w="1538" w:type="dxa"/>
            <w:tcBorders/>
            <w:vAlign w:val="center"/>
          </w:tcPr>
          <w:p>
            <w:pPr>
              <w:pStyle w:val="TableContents"/>
              <w:bidi w:val="0"/>
              <w:jc w:val="end"/>
              <w:rPr/>
            </w:pPr>
            <w:r>
              <w:rPr/>
              <w:t>78.95</w:t>
            </w:r>
          </w:p>
        </w:tc>
        <w:tc>
          <w:tcPr>
            <w:tcW w:w="1509" w:type="dxa"/>
            <w:tcBorders/>
            <w:vAlign w:val="center"/>
          </w:tcPr>
          <w:p>
            <w:pPr>
              <w:pStyle w:val="TableContents"/>
              <w:bidi w:val="0"/>
              <w:jc w:val="end"/>
              <w:rPr/>
            </w:pPr>
            <w:r>
              <w:rPr/>
              <w:t>83.33</w:t>
            </w:r>
          </w:p>
        </w:tc>
        <w:tc>
          <w:tcPr>
            <w:tcW w:w="1205" w:type="dxa"/>
            <w:tcBorders/>
            <w:vAlign w:val="center"/>
          </w:tcPr>
          <w:p>
            <w:pPr>
              <w:pStyle w:val="TableContents"/>
              <w:bidi w:val="0"/>
              <w:jc w:val="end"/>
              <w:rPr/>
            </w:pPr>
            <w:r>
              <w:rPr/>
              <w:t>83.33</w:t>
            </w:r>
          </w:p>
        </w:tc>
        <w:tc>
          <w:tcPr>
            <w:tcW w:w="1528" w:type="dxa"/>
            <w:tcBorders/>
            <w:vAlign w:val="center"/>
          </w:tcPr>
          <w:p>
            <w:pPr>
              <w:pStyle w:val="TableContents"/>
              <w:bidi w:val="0"/>
              <w:jc w:val="end"/>
              <w:rPr/>
            </w:pPr>
            <w:r>
              <w:rPr/>
              <w:t>83.33</w:t>
            </w:r>
          </w:p>
        </w:tc>
      </w:tr>
      <w:tr>
        <w:trPr/>
        <w:tc>
          <w:tcPr>
            <w:tcW w:w="2035" w:type="dxa"/>
            <w:tcBorders/>
            <w:vAlign w:val="center"/>
          </w:tcPr>
          <w:p>
            <w:pPr>
              <w:pStyle w:val="TableContents"/>
              <w:widowControl w:val="false"/>
              <w:suppressLineNumbers/>
              <w:bidi w:val="0"/>
              <w:jc w:val="start"/>
              <w:rPr/>
            </w:pPr>
            <w:r>
              <w:rPr/>
              <w:t>Random Forest</w:t>
            </w:r>
          </w:p>
        </w:tc>
        <w:tc>
          <w:tcPr>
            <w:tcW w:w="1538" w:type="dxa"/>
            <w:tcBorders/>
            <w:vAlign w:val="center"/>
          </w:tcPr>
          <w:p>
            <w:pPr>
              <w:pStyle w:val="TableContents"/>
              <w:bidi w:val="0"/>
              <w:jc w:val="end"/>
              <w:rPr/>
            </w:pPr>
            <w:r>
              <w:rPr/>
              <w:t>73.68</w:t>
            </w:r>
          </w:p>
        </w:tc>
        <w:tc>
          <w:tcPr>
            <w:tcW w:w="1509" w:type="dxa"/>
            <w:tcBorders/>
            <w:vAlign w:val="center"/>
          </w:tcPr>
          <w:p>
            <w:pPr>
              <w:pStyle w:val="TableContents"/>
              <w:bidi w:val="0"/>
              <w:jc w:val="end"/>
              <w:rPr/>
            </w:pPr>
            <w:r>
              <w:rPr/>
              <w:t>73.33</w:t>
            </w:r>
          </w:p>
        </w:tc>
        <w:tc>
          <w:tcPr>
            <w:tcW w:w="1205" w:type="dxa"/>
            <w:tcBorders/>
            <w:vAlign w:val="center"/>
          </w:tcPr>
          <w:p>
            <w:pPr>
              <w:pStyle w:val="TableContents"/>
              <w:bidi w:val="0"/>
              <w:jc w:val="end"/>
              <w:rPr/>
            </w:pPr>
            <w:r>
              <w:rPr/>
              <w:t>91.67</w:t>
            </w:r>
          </w:p>
        </w:tc>
        <w:tc>
          <w:tcPr>
            <w:tcW w:w="1528" w:type="dxa"/>
            <w:tcBorders/>
            <w:vAlign w:val="center"/>
          </w:tcPr>
          <w:p>
            <w:pPr>
              <w:pStyle w:val="TableContents"/>
              <w:bidi w:val="0"/>
              <w:jc w:val="end"/>
              <w:rPr/>
            </w:pPr>
            <w:r>
              <w:rPr/>
              <w:t>81.48</w:t>
            </w:r>
          </w:p>
        </w:tc>
      </w:tr>
      <w:tr>
        <w:trPr/>
        <w:tc>
          <w:tcPr>
            <w:tcW w:w="2035" w:type="dxa"/>
            <w:tcBorders/>
            <w:vAlign w:val="center"/>
          </w:tcPr>
          <w:p>
            <w:pPr>
              <w:pStyle w:val="TableContents"/>
              <w:widowControl w:val="false"/>
              <w:suppressLineNumbers/>
              <w:bidi w:val="0"/>
              <w:jc w:val="start"/>
              <w:rPr/>
            </w:pPr>
            <w:r>
              <w:rPr/>
              <w:t>XGBoost</w:t>
            </w:r>
          </w:p>
        </w:tc>
        <w:tc>
          <w:tcPr>
            <w:tcW w:w="1538" w:type="dxa"/>
            <w:tcBorders/>
            <w:vAlign w:val="center"/>
          </w:tcPr>
          <w:p>
            <w:pPr>
              <w:pStyle w:val="TableContents"/>
              <w:bidi w:val="0"/>
              <w:jc w:val="end"/>
              <w:rPr/>
            </w:pPr>
            <w:r>
              <w:rPr/>
              <w:t>63.16</w:t>
            </w:r>
          </w:p>
        </w:tc>
        <w:tc>
          <w:tcPr>
            <w:tcW w:w="1509" w:type="dxa"/>
            <w:tcBorders/>
            <w:vAlign w:val="center"/>
          </w:tcPr>
          <w:p>
            <w:pPr>
              <w:pStyle w:val="TableContents"/>
              <w:bidi w:val="0"/>
              <w:jc w:val="end"/>
              <w:rPr/>
            </w:pPr>
            <w:r>
              <w:rPr/>
              <w:t>64.71</w:t>
            </w:r>
          </w:p>
        </w:tc>
        <w:tc>
          <w:tcPr>
            <w:tcW w:w="1205" w:type="dxa"/>
            <w:tcBorders/>
            <w:vAlign w:val="center"/>
          </w:tcPr>
          <w:p>
            <w:pPr>
              <w:pStyle w:val="TableContents"/>
              <w:bidi w:val="0"/>
              <w:jc w:val="end"/>
              <w:rPr/>
            </w:pPr>
            <w:r>
              <w:rPr/>
              <w:t>91.67</w:t>
            </w:r>
          </w:p>
        </w:tc>
        <w:tc>
          <w:tcPr>
            <w:tcW w:w="1528" w:type="dxa"/>
            <w:tcBorders/>
            <w:vAlign w:val="center"/>
          </w:tcPr>
          <w:p>
            <w:pPr>
              <w:pStyle w:val="TableContents"/>
              <w:bidi w:val="0"/>
              <w:jc w:val="end"/>
              <w:rPr/>
            </w:pPr>
            <w:r>
              <w:rPr/>
              <w:t>75.86</w:t>
            </w:r>
          </w:p>
        </w:tc>
      </w:tr>
    </w:tbl>
    <w:p>
      <w:pPr>
        <w:pStyle w:val="BodyText"/>
        <w:bidi w:val="0"/>
        <w:jc w:val="start"/>
        <w:rPr>
          <w:b/>
          <w:bCs/>
        </w:rPr>
      </w:pPr>
      <w:r>
        <w:rPr>
          <w:b/>
          <w:bCs/>
        </w:rPr>
      </w:r>
    </w:p>
    <w:p>
      <w:pPr>
        <w:pStyle w:val="BodyText"/>
        <w:bidi w:val="0"/>
        <w:jc w:val="start"/>
        <w:rPr>
          <w:b/>
          <w:bCs/>
        </w:rPr>
      </w:pPr>
      <w:r>
        <w:rPr>
          <w:b/>
          <w:bCs/>
        </w:rPr>
        <w:t>Overall Accuracy Heatmap:</w:t>
      </w:r>
    </w:p>
    <w:p>
      <w:pPr>
        <w:pStyle w:val="BodyText"/>
        <w:bidi w:val="0"/>
        <w:jc w:val="start"/>
        <w:rPr>
          <w:b/>
          <w:bCs/>
        </w:rPr>
      </w:pPr>
      <w:r>
        <w:rPr>
          <w:b/>
          <w:bCs/>
        </w:rPr>
        <w:drawing>
          <wp:anchor behindDoc="0" distT="0" distB="0" distL="0" distR="0" simplePos="0" locked="0" layoutInCell="0" allowOverlap="1" relativeHeight="5">
            <wp:simplePos x="0" y="0"/>
            <wp:positionH relativeFrom="column">
              <wp:posOffset>0</wp:posOffset>
            </wp:positionH>
            <wp:positionV relativeFrom="paragraph">
              <wp:posOffset>-2540</wp:posOffset>
            </wp:positionV>
            <wp:extent cx="6120130" cy="381889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9"/>
                    <a:stretch>
                      <a:fillRect/>
                    </a:stretch>
                  </pic:blipFill>
                  <pic:spPr bwMode="auto">
                    <a:xfrm>
                      <a:off x="0" y="0"/>
                      <a:ext cx="6120130" cy="3818890"/>
                    </a:xfrm>
                    <a:prstGeom prst="rect">
                      <a:avLst/>
                    </a:prstGeom>
                  </pic:spPr>
                </pic:pic>
              </a:graphicData>
            </a:graphic>
          </wp:anchor>
        </w:drawing>
      </w:r>
    </w:p>
    <w:p>
      <w:pPr>
        <w:pStyle w:val="BodyText"/>
        <w:bidi w:val="0"/>
        <w:jc w:val="start"/>
        <w:rPr>
          <w:b/>
          <w:bCs/>
        </w:rPr>
      </w:pPr>
      <w:r>
        <w:rPr>
          <w:b/>
          <w:bCs/>
        </w:rPr>
        <w:t>Implementation Details</w:t>
      </w:r>
    </w:p>
    <w:p>
      <w:pPr>
        <w:pStyle w:val="BodyText"/>
        <w:bidi w:val="0"/>
        <w:jc w:val="start"/>
        <w:rPr>
          <w:b w:val="false"/>
          <w:bCs w:val="false"/>
        </w:rPr>
      </w:pPr>
      <w:r>
        <w:rPr>
          <w:b w:val="false"/>
          <w:bCs w:val="false"/>
        </w:rPr>
        <w:t>The source code, datasets, some images, the notebook, and a demo web app are hosted on GitHub.</w:t>
      </w:r>
    </w:p>
    <w:p>
      <w:pPr>
        <w:pStyle w:val="BodyText"/>
        <w:bidi w:val="0"/>
        <w:jc w:val="start"/>
        <w:rPr>
          <w:b/>
          <w:bCs/>
        </w:rPr>
      </w:pPr>
      <w:r>
        <w:rPr>
          <w:b/>
          <w:bCs/>
        </w:rPr>
        <w:t xml:space="preserve">GitHub Link: </w:t>
      </w:r>
      <w:hyperlink r:id="rId10">
        <w:r>
          <w:rPr>
            <w:rStyle w:val="Hyperlink"/>
            <w:b w:val="false"/>
            <w:bCs w:val="false"/>
          </w:rPr>
          <w:t>https://github.com/Beytullahp42/HeartDiseasePrediction-ML</w:t>
        </w:r>
      </w:hyperlink>
    </w:p>
    <w:p>
      <w:pPr>
        <w:pStyle w:val="BodyText"/>
        <w:bidi w:val="0"/>
        <w:jc w:val="start"/>
        <w:rPr>
          <w:b/>
          <w:bCs/>
        </w:rPr>
      </w:pPr>
      <w:r>
        <w:rPr>
          <w:b/>
          <w:bCs/>
        </w:rPr>
        <w:t>Repository Structure:</w:t>
      </w:r>
    </w:p>
    <w:p>
      <w:pPr>
        <w:pStyle w:val="BodyText"/>
        <w:numPr>
          <w:ilvl w:val="0"/>
          <w:numId w:val="7"/>
        </w:numPr>
        <w:bidi w:val="0"/>
        <w:jc w:val="start"/>
        <w:rPr>
          <w:b/>
          <w:bCs/>
        </w:rPr>
      </w:pPr>
      <w:r>
        <w:rPr>
          <w:b/>
          <w:bCs/>
        </w:rPr>
        <w:t>42x4.ipynb</w:t>
      </w:r>
      <w:r>
        <w:rPr>
          <w:b w:val="false"/>
          <w:bCs w:val="false"/>
        </w:rPr>
        <w:t>: The primary research notebook containing the comprehensive experimental loop for all model-dataset combinations</w:t>
      </w:r>
    </w:p>
    <w:p>
      <w:pPr>
        <w:pStyle w:val="BodyText"/>
        <w:numPr>
          <w:ilvl w:val="0"/>
          <w:numId w:val="7"/>
        </w:numPr>
        <w:bidi w:val="0"/>
        <w:jc w:val="start"/>
        <w:rPr>
          <w:b/>
          <w:bCs/>
        </w:rPr>
      </w:pPr>
      <w:r>
        <w:rPr>
          <w:b/>
          <w:bCs/>
        </w:rPr>
        <w:t>app.py</w:t>
      </w:r>
      <w:r>
        <w:rPr>
          <w:b w:val="false"/>
          <w:bCs w:val="false"/>
        </w:rPr>
        <w:t>: The Flask backend that serves model predictions via a RESTful API to the frontend.</w:t>
      </w:r>
    </w:p>
    <w:p>
      <w:pPr>
        <w:pStyle w:val="BodyText"/>
        <w:numPr>
          <w:ilvl w:val="0"/>
          <w:numId w:val="7"/>
        </w:numPr>
        <w:bidi w:val="0"/>
        <w:jc w:val="start"/>
        <w:rPr>
          <w:b/>
          <w:bCs/>
        </w:rPr>
      </w:pPr>
      <w:r>
        <w:rPr>
          <w:b/>
          <w:bCs/>
        </w:rPr>
        <w:t>index.html</w:t>
      </w:r>
      <w:r>
        <w:rPr>
          <w:b w:val="false"/>
          <w:bCs w:val="false"/>
        </w:rPr>
        <w:t>: The web interface for the system prototype.</w:t>
      </w:r>
    </w:p>
    <w:p>
      <w:pPr>
        <w:pStyle w:val="BodyText"/>
        <w:numPr>
          <w:ilvl w:val="0"/>
          <w:numId w:val="7"/>
        </w:numPr>
        <w:bidi w:val="0"/>
        <w:jc w:val="start"/>
        <w:rPr>
          <w:b/>
          <w:bCs/>
        </w:rPr>
      </w:pPr>
      <w:r>
        <w:rPr>
          <w:b/>
          <w:bCs/>
        </w:rPr>
        <w:t>train_model.py</w:t>
      </w:r>
      <w:r>
        <w:rPr>
          <w:b w:val="false"/>
          <w:bCs w:val="false"/>
        </w:rPr>
        <w:t>: A script to train the final Random Forest model on the Kaggle dataset and export it as a model file.</w:t>
      </w:r>
    </w:p>
    <w:p>
      <w:pPr>
        <w:pStyle w:val="BodyText"/>
        <w:numPr>
          <w:ilvl w:val="0"/>
          <w:numId w:val="7"/>
        </w:numPr>
        <w:bidi w:val="0"/>
        <w:jc w:val="start"/>
        <w:rPr>
          <w:b/>
          <w:bCs/>
        </w:rPr>
      </w:pPr>
      <w:r>
        <w:rPr>
          <w:b/>
          <w:bCs/>
        </w:rPr>
        <w:t>images/</w:t>
      </w:r>
      <w:r>
        <w:rPr>
          <w:b w:val="false"/>
          <w:bCs w:val="false"/>
        </w:rPr>
        <w:t>: A directory containing some generated Confusion Matrices and Learning Curves used in this report.</w:t>
      </w:r>
    </w:p>
    <w:p>
      <w:pPr>
        <w:pStyle w:val="BodyText"/>
        <w:numPr>
          <w:ilvl w:val="0"/>
          <w:numId w:val="7"/>
        </w:numPr>
        <w:bidi w:val="0"/>
        <w:jc w:val="start"/>
        <w:rPr>
          <w:b/>
          <w:bCs/>
        </w:rPr>
      </w:pPr>
      <w:r>
        <w:rPr>
          <w:b/>
          <w:bCs/>
        </w:rPr>
        <w:t>requirements.txt</w:t>
      </w:r>
      <w:r>
        <w:rPr>
          <w:b w:val="false"/>
          <w:bCs w:val="false"/>
        </w:rPr>
        <w:t>: A list of all necessary Python libraries.</w:t>
      </w:r>
    </w:p>
    <w:p>
      <w:pPr>
        <w:pStyle w:val="BodyText"/>
        <w:bidi w:val="0"/>
        <w:jc w:val="start"/>
        <w:rPr>
          <w:b w:val="false"/>
          <w:bCs w:val="false"/>
        </w:rPr>
      </w:pPr>
      <w:r>
        <w:rPr>
          <w:b w:val="false"/>
          <w:bCs w:val="false"/>
        </w:rPr>
      </w:r>
    </w:p>
    <w:p>
      <w:pPr>
        <w:pStyle w:val="BodyText"/>
        <w:bidi w:val="0"/>
        <w:jc w:val="start"/>
        <w:rPr>
          <w:b/>
          <w:bCs/>
        </w:rPr>
      </w:pPr>
      <w:r>
        <w:rPr>
          <w:b/>
          <w:bCs/>
        </w:rPr>
        <w:t>How to Run the Project Locally</w:t>
      </w:r>
    </w:p>
    <w:p>
      <w:pPr>
        <w:pStyle w:val="BodyText"/>
        <w:bidi w:val="0"/>
        <w:jc w:val="start"/>
        <w:rPr>
          <w:b/>
          <w:bCs/>
        </w:rPr>
      </w:pPr>
      <w:r>
        <w:rPr>
          <w:b w:val="false"/>
          <w:bCs w:val="false"/>
        </w:rPr>
        <w:t>To execute the project on a local machine, follow these steps:</w:t>
      </w:r>
    </w:p>
    <w:p>
      <w:pPr>
        <w:pStyle w:val="BodyText"/>
        <w:numPr>
          <w:ilvl w:val="0"/>
          <w:numId w:val="8"/>
        </w:numPr>
        <w:bidi w:val="0"/>
        <w:jc w:val="start"/>
        <w:rPr>
          <w:b/>
          <w:bCs/>
        </w:rPr>
      </w:pPr>
      <w:r>
        <w:rPr>
          <w:b/>
          <w:bCs/>
        </w:rPr>
        <w:t>Clone the Repository:</w:t>
      </w:r>
    </w:p>
    <w:p>
      <w:pPr>
        <w:pStyle w:val="BodyText"/>
        <w:numPr>
          <w:ilvl w:val="0"/>
          <w:numId w:val="0"/>
        </w:numPr>
        <w:bidi w:val="0"/>
        <w:ind w:hanging="0" w:start="720"/>
        <w:jc w:val="start"/>
        <w:rPr>
          <w:b/>
          <w:bCs/>
          <w:i/>
          <w:i/>
          <w:iCs/>
        </w:rPr>
      </w:pPr>
      <w:r>
        <w:rPr>
          <w:b w:val="false"/>
          <w:bCs w:val="false"/>
          <w:i/>
          <w:iCs/>
        </w:rPr>
        <w:t>$ git clone https://github.com/Beytullahp42/HeartDiseasePrediction-ML</w:t>
      </w:r>
    </w:p>
    <w:p>
      <w:pPr>
        <w:pStyle w:val="BodyText"/>
        <w:numPr>
          <w:ilvl w:val="0"/>
          <w:numId w:val="0"/>
        </w:numPr>
        <w:bidi w:val="0"/>
        <w:ind w:hanging="0" w:start="720"/>
        <w:jc w:val="start"/>
        <w:rPr>
          <w:b/>
          <w:bCs/>
          <w:i/>
          <w:i/>
          <w:iCs/>
        </w:rPr>
      </w:pPr>
      <w:r>
        <w:rPr>
          <w:b w:val="false"/>
          <w:bCs w:val="false"/>
          <w:i/>
          <w:iCs/>
        </w:rPr>
        <w:t>$ cd HeartDiseasePrediction-ML</w:t>
      </w:r>
    </w:p>
    <w:p>
      <w:pPr>
        <w:pStyle w:val="BodyText"/>
        <w:numPr>
          <w:ilvl w:val="0"/>
          <w:numId w:val="8"/>
        </w:numPr>
        <w:bidi w:val="0"/>
        <w:jc w:val="start"/>
        <w:rPr>
          <w:b/>
          <w:bCs/>
        </w:rPr>
      </w:pPr>
      <w:r>
        <w:rPr>
          <w:b/>
          <w:bCs/>
        </w:rPr>
        <w:t xml:space="preserve">Ensure Python 3.12 is </w:t>
      </w:r>
      <w:r>
        <w:rPr>
          <w:b/>
          <w:bCs/>
        </w:rPr>
        <w:t>i</w:t>
      </w:r>
      <w:r>
        <w:rPr>
          <w:b/>
          <w:bCs/>
        </w:rPr>
        <w:t xml:space="preserve">nstalled, </w:t>
      </w:r>
      <w:r>
        <w:rPr>
          <w:b/>
          <w:bCs/>
        </w:rPr>
        <w:t>t</w:t>
      </w:r>
      <w:r>
        <w:rPr>
          <w:b/>
          <w:bCs/>
        </w:rPr>
        <w:t xml:space="preserve">hen </w:t>
      </w:r>
      <w:r>
        <w:rPr>
          <w:b/>
          <w:bCs/>
        </w:rPr>
        <w:t>c</w:t>
      </w:r>
      <w:r>
        <w:rPr>
          <w:b/>
          <w:bCs/>
        </w:rPr>
        <w:t xml:space="preserve">reate and </w:t>
      </w:r>
      <w:r>
        <w:rPr>
          <w:b/>
          <w:bCs/>
        </w:rPr>
        <w:t>a</w:t>
      </w:r>
      <w:r>
        <w:rPr>
          <w:b/>
          <w:bCs/>
        </w:rPr>
        <w:t xml:space="preserve">ctivate a </w:t>
      </w:r>
      <w:r>
        <w:rPr>
          <w:b/>
          <w:bCs/>
        </w:rPr>
        <w:t>v</w:t>
      </w:r>
      <w:r>
        <w:rPr>
          <w:b/>
          <w:bCs/>
        </w:rPr>
        <w:t xml:space="preserve">irtual </w:t>
      </w:r>
      <w:r>
        <w:rPr>
          <w:b/>
          <w:bCs/>
        </w:rPr>
        <w:t>e</w:t>
      </w:r>
      <w:r>
        <w:rPr>
          <w:b/>
          <w:bCs/>
        </w:rPr>
        <w:t>nvironment:</w:t>
      </w:r>
    </w:p>
    <w:p>
      <w:pPr>
        <w:pStyle w:val="BodyText"/>
        <w:numPr>
          <w:ilvl w:val="0"/>
          <w:numId w:val="0"/>
        </w:numPr>
        <w:bidi w:val="0"/>
        <w:ind w:hanging="0" w:start="720"/>
        <w:jc w:val="start"/>
        <w:rPr>
          <w:b w:val="false"/>
          <w:bCs w:val="false"/>
          <w:i/>
          <w:i/>
          <w:iCs/>
        </w:rPr>
      </w:pPr>
      <w:r>
        <w:rPr>
          <w:b w:val="false"/>
          <w:bCs w:val="false"/>
          <w:i/>
          <w:iCs/>
        </w:rPr>
        <w:t>$ python3 -m venv venv</w:t>
      </w:r>
    </w:p>
    <w:p>
      <w:pPr>
        <w:pStyle w:val="BodyText"/>
        <w:numPr>
          <w:ilvl w:val="0"/>
          <w:numId w:val="0"/>
        </w:numPr>
        <w:bidi w:val="0"/>
        <w:ind w:hanging="0" w:start="720"/>
        <w:jc w:val="start"/>
        <w:rPr>
          <w:b w:val="false"/>
          <w:bCs w:val="false"/>
          <w:i/>
          <w:i/>
          <w:iCs/>
        </w:rPr>
      </w:pPr>
      <w:r>
        <w:rPr>
          <w:b w:val="false"/>
          <w:bCs w:val="false"/>
          <w:i/>
          <w:iCs/>
        </w:rPr>
        <w:t>$ source venv/bin/activate</w:t>
      </w:r>
    </w:p>
    <w:p>
      <w:pPr>
        <w:pStyle w:val="BodyText"/>
        <w:numPr>
          <w:ilvl w:val="0"/>
          <w:numId w:val="8"/>
        </w:numPr>
        <w:bidi w:val="0"/>
        <w:jc w:val="start"/>
        <w:rPr>
          <w:b/>
          <w:bCs/>
        </w:rPr>
      </w:pPr>
      <w:r>
        <w:rPr>
          <w:b/>
          <w:bCs/>
        </w:rPr>
        <w:t>Install Dependencies:</w:t>
      </w:r>
    </w:p>
    <w:p>
      <w:pPr>
        <w:pStyle w:val="BodyText"/>
        <w:numPr>
          <w:ilvl w:val="0"/>
          <w:numId w:val="0"/>
        </w:numPr>
        <w:bidi w:val="0"/>
        <w:ind w:hanging="0" w:start="720"/>
        <w:jc w:val="start"/>
        <w:rPr>
          <w:b/>
          <w:bCs/>
          <w:i/>
          <w:i/>
          <w:iCs/>
        </w:rPr>
      </w:pPr>
      <w:r>
        <w:rPr>
          <w:b w:val="false"/>
          <w:bCs w:val="false"/>
          <w:i/>
          <w:iCs/>
        </w:rPr>
        <w:t>$ pip install -r requirements.txt</w:t>
      </w:r>
    </w:p>
    <w:p>
      <w:pPr>
        <w:pStyle w:val="BodyText"/>
        <w:numPr>
          <w:ilvl w:val="0"/>
          <w:numId w:val="8"/>
        </w:numPr>
        <w:bidi w:val="0"/>
        <w:jc w:val="start"/>
        <w:rPr>
          <w:b/>
          <w:bCs/>
        </w:rPr>
      </w:pPr>
      <w:r>
        <w:rPr>
          <w:b w:val="false"/>
          <w:bCs w:val="false"/>
        </w:rPr>
        <w:t>Examine or run the “</w:t>
      </w:r>
      <w:r>
        <w:rPr>
          <w:b/>
          <w:bCs/>
        </w:rPr>
        <w:t>42x4.ipynb</w:t>
      </w:r>
      <w:r>
        <w:rPr>
          <w:b w:val="false"/>
          <w:bCs w:val="false"/>
        </w:rPr>
        <w:t>”</w:t>
      </w:r>
      <w:r>
        <w:rPr>
          <w:b/>
          <w:bCs/>
        </w:rPr>
        <w:t xml:space="preserve"> </w:t>
      </w:r>
      <w:r>
        <w:rPr>
          <w:b w:val="false"/>
          <w:bCs w:val="false"/>
        </w:rPr>
        <w:t>Jupyter Notebook</w:t>
      </w:r>
    </w:p>
    <w:p>
      <w:pPr>
        <w:pStyle w:val="BodyText"/>
        <w:numPr>
          <w:ilvl w:val="0"/>
          <w:numId w:val="8"/>
        </w:numPr>
        <w:bidi w:val="0"/>
        <w:jc w:val="start"/>
        <w:rPr/>
      </w:pPr>
      <w:r>
        <w:rPr>
          <w:b/>
          <w:bCs w:val="false"/>
        </w:rPr>
        <w:t>Launch the Web Application:</w:t>
      </w:r>
      <w:r>
        <w:rPr>
          <w:b w:val="false"/>
          <w:bCs w:val="false"/>
        </w:rPr>
        <w:t xml:space="preserve"> Start the Flask server and navigate to the local host address provided by Flask. </w:t>
      </w:r>
      <w:r>
        <w:rPr>
          <w:b w:val="false"/>
          <w:bCs w:val="false"/>
          <w:i w:val="false"/>
          <w:iCs w:val="false"/>
        </w:rPr>
        <w:t>(The existing model should be imported from GitHub. If not, the “</w:t>
      </w:r>
      <w:r>
        <w:rPr>
          <w:b/>
          <w:bCs/>
          <w:i w:val="false"/>
          <w:iCs w:val="false"/>
        </w:rPr>
        <w:t>app.py</w:t>
      </w:r>
      <w:r>
        <w:rPr>
          <w:b w:val="false"/>
          <w:bCs w:val="false"/>
          <w:i w:val="false"/>
          <w:iCs w:val="false"/>
        </w:rPr>
        <w:t>” script should check the existence of the model, and if the model doesn’t exist, it should run the “</w:t>
      </w:r>
      <w:r>
        <w:rPr>
          <w:b/>
          <w:bCs/>
          <w:i w:val="false"/>
          <w:iCs w:val="false"/>
        </w:rPr>
        <w:t>train_model.py</w:t>
      </w:r>
      <w:r>
        <w:rPr>
          <w:b w:val="false"/>
          <w:bCs w:val="false"/>
          <w:i w:val="false"/>
          <w:iCs w:val="false"/>
        </w:rPr>
        <w:t>”</w:t>
      </w:r>
      <w:r>
        <w:rPr>
          <w:b/>
          <w:bCs/>
          <w:i w:val="false"/>
          <w:iCs w:val="false"/>
        </w:rPr>
        <w:t xml:space="preserve"> </w:t>
      </w:r>
      <w:r>
        <w:rPr>
          <w:b w:val="false"/>
          <w:bCs w:val="false"/>
          <w:i w:val="false"/>
          <w:iCs w:val="false"/>
        </w:rPr>
        <w:t>script to create the model.)</w:t>
      </w:r>
    </w:p>
    <w:p>
      <w:pPr>
        <w:pStyle w:val="BodyText"/>
        <w:numPr>
          <w:ilvl w:val="0"/>
          <w:numId w:val="0"/>
        </w:numPr>
        <w:bidi w:val="0"/>
        <w:ind w:hanging="0" w:start="720"/>
        <w:jc w:val="start"/>
        <w:rPr/>
      </w:pPr>
      <w:r>
        <w:rPr>
          <w:b w:val="false"/>
          <w:bCs w:val="false"/>
          <w:i/>
          <w:iCs/>
        </w:rPr>
        <w:t>$ python app.py</w:t>
      </w:r>
    </w:p>
    <w:p>
      <w:pPr>
        <w:pStyle w:val="BodyText"/>
        <w:bidi w:val="0"/>
        <w:jc w:val="start"/>
        <w:rPr>
          <w:b w:val="false"/>
          <w:bCs w:val="false"/>
          <w:i/>
          <w:i/>
          <w:iCs/>
        </w:rPr>
      </w:pPr>
      <w:r>
        <w:rPr>
          <w:b w:val="false"/>
          <w:bCs w:val="false"/>
          <w:i/>
          <w:iCs/>
        </w:rPr>
      </w:r>
    </w:p>
    <w:p>
      <w:pPr>
        <w:pStyle w:val="BodyText"/>
        <w:bidi w:val="0"/>
        <w:jc w:val="start"/>
        <w:rPr>
          <w:b/>
          <w:bCs/>
          <w:i w:val="false"/>
          <w:i w:val="false"/>
          <w:iCs w:val="false"/>
        </w:rPr>
      </w:pPr>
      <w:r>
        <w:rPr>
          <w:b/>
          <w:bCs/>
          <w:i w:val="false"/>
          <w:iCs w:val="false"/>
        </w:rPr>
        <w:t xml:space="preserve">Conclusion: </w:t>
      </w:r>
      <w:r>
        <w:rPr>
          <w:b w:val="false"/>
          <w:bCs w:val="false"/>
          <w:i w:val="false"/>
          <w:iCs w:val="false"/>
        </w:rPr>
        <w:t>This project implements a framework for heart disease prediction, directly reproducing the methodology of Sahoo et al. while extending the research through multi-dataset stress testing and real-world deployment.</w:t>
      </w:r>
    </w:p>
    <w:p>
      <w:pPr>
        <w:pStyle w:val="BodyText"/>
        <w:bidi w:val="0"/>
        <w:jc w:val="start"/>
        <w:rPr>
          <w:b/>
          <w:bCs/>
          <w:i w:val="false"/>
          <w:i w:val="false"/>
          <w:iCs w:val="false"/>
        </w:rPr>
      </w:pPr>
      <w:r>
        <w:rPr>
          <w:b/>
          <w:bCs/>
          <w:i w:val="false"/>
          <w:iCs w:val="false"/>
        </w:rPr>
        <w:t>Key Findings and Model Performance</w:t>
      </w:r>
    </w:p>
    <w:p>
      <w:pPr>
        <w:pStyle w:val="BodyText"/>
        <w:bidi w:val="0"/>
        <w:jc w:val="start"/>
        <w:rPr>
          <w:b/>
          <w:bCs/>
          <w:i w:val="false"/>
          <w:i w:val="false"/>
          <w:iCs w:val="false"/>
        </w:rPr>
      </w:pPr>
      <w:r>
        <w:rPr>
          <w:b/>
          <w:bCs/>
          <w:i w:val="false"/>
          <w:iCs w:val="false"/>
        </w:rPr>
        <w:t xml:space="preserve">Validation of the Original Study: </w:t>
      </w:r>
      <w:r>
        <w:rPr>
          <w:b w:val="false"/>
          <w:bCs w:val="false"/>
          <w:i w:val="false"/>
          <w:iCs w:val="false"/>
        </w:rPr>
        <w:t xml:space="preserve">The reproduction on the Cleveland Standard dataset (D5) confirmed the effectiveness of supervised learning, with Naive Bayes and Random Forest achieving high accuracies of 91.67% and 88.33%, respectively. This closely aligns with the paper's reported champion, Random Forest at 90.16%. </w:t>
      </w:r>
    </w:p>
    <w:p>
      <w:pPr>
        <w:pStyle w:val="BodyText"/>
        <w:bidi w:val="0"/>
        <w:jc w:val="start"/>
        <w:rPr>
          <w:b w:val="false"/>
          <w:bCs w:val="false"/>
          <w:i w:val="false"/>
          <w:i w:val="false"/>
          <w:iCs w:val="false"/>
        </w:rPr>
      </w:pPr>
      <w:r>
        <w:rPr>
          <w:b/>
          <w:bCs/>
          <w:i w:val="false"/>
          <w:iCs w:val="false"/>
        </w:rPr>
        <w:t>Scalability on Big Data:</w:t>
      </w:r>
      <w:r>
        <w:rPr>
          <w:b w:val="false"/>
          <w:bCs w:val="false"/>
          <w:i w:val="false"/>
          <w:iCs w:val="false"/>
        </w:rPr>
        <w:t xml:space="preserve"> The transition to the larger Kaggle dataset (D6) demonstrated that model reliability scales with data volume. On this 1,190-record set, Random Forest reached a project-high 94.54% accuracy with a high Recall score, proving its suitability for critical healthcare diagnostics.</w:t>
      </w:r>
    </w:p>
    <w:p>
      <w:pPr>
        <w:pStyle w:val="BodyText"/>
        <w:bidi w:val="0"/>
        <w:jc w:val="start"/>
        <w:rPr>
          <w:b w:val="false"/>
          <w:bCs w:val="false"/>
          <w:i w:val="false"/>
          <w:i w:val="false"/>
          <w:iCs w:val="false"/>
        </w:rPr>
      </w:pPr>
      <w:r>
        <w:rPr>
          <w:b/>
          <w:bCs/>
          <w:i w:val="false"/>
          <w:iCs w:val="false"/>
        </w:rPr>
        <w:t xml:space="preserve">Data Strategy Insights: </w:t>
      </w:r>
      <w:r>
        <w:rPr>
          <w:b w:val="false"/>
          <w:bCs w:val="false"/>
          <w:i w:val="false"/>
          <w:iCs w:val="false"/>
        </w:rPr>
        <w:t>The Hungarian dataset experiments (D1–D3) provided a vital lesson in data engineering: imputation is superior to deletion. Retaining high-missingness features like ca and thal through mean imputation improved performance by nearly 16% compared to dropping them, proving these "super-features" contain essential biological signals even when sparse.</w:t>
      </w:r>
    </w:p>
    <w:p>
      <w:pPr>
        <w:pStyle w:val="BodyText"/>
        <w:bidi w:val="0"/>
        <w:jc w:val="start"/>
        <w:rPr>
          <w:b w:val="false"/>
          <w:bCs w:val="false"/>
          <w:i w:val="false"/>
          <w:i w:val="false"/>
          <w:iCs w:val="false"/>
        </w:rPr>
      </w:pPr>
      <w:r>
        <w:rPr>
          <w:b/>
          <w:bCs/>
          <w:i w:val="false"/>
          <w:iCs w:val="false"/>
        </w:rPr>
        <w:t xml:space="preserve">Limitations: </w:t>
      </w:r>
      <w:r>
        <w:rPr>
          <w:b w:val="false"/>
          <w:bCs w:val="false"/>
          <w:i w:val="false"/>
          <w:iCs w:val="false"/>
        </w:rPr>
        <w:t>While the models performed exceptionally well, the high variance observed in the Cleveland dataset's learning curves suggests that results are still sensitive to smaller patient samples.</w:t>
      </w:r>
    </w:p>
    <w:p>
      <w:pPr>
        <w:pStyle w:val="BodyText"/>
        <w:bidi w:val="0"/>
        <w:spacing w:before="0" w:after="140"/>
        <w:jc w:val="start"/>
        <w:rPr>
          <w:b w:val="false"/>
          <w:bCs w:val="false"/>
          <w:i w:val="false"/>
          <w:i w:val="false"/>
          <w:iCs w:val="false"/>
        </w:rPr>
      </w:pPr>
      <w:r>
        <w:rPr>
          <w:b w:val="false"/>
          <w:bCs w:val="false"/>
          <w:i w:val="false"/>
          <w:iCs w:val="false"/>
        </w:rPr>
        <w:t>In conclusion, the integration of advanced algorithms like XGBoost and Random Forest with robust preprocessing strategies provides a reliable foundation for heart disease prediction. The success of the 94.54% accurate Kaggle model in the web application environment justifies the authors' vision of reducing hospital burdens by providing patients with accurate, early-stage cardiac risk assessments at home.</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OpenSymbol" w:hAnsi="OpenSymbol" w:cs="OpenSymbol" w:hint="default"/>
      </w:rPr>
    </w:lvl>
    <w:lvl w:ilvl="2">
      <w:start w:val="1"/>
      <w:numFmt w:val="bullet"/>
      <w:lvlText w:val="▪"/>
      <w:lvlJc w:val="start"/>
      <w:pPr>
        <w:tabs>
          <w:tab w:val="num" w:pos="1680"/>
        </w:tabs>
        <w:ind w:start="1680" w:hanging="360"/>
      </w:pPr>
      <w:rPr>
        <w:rFonts w:ascii="OpenSymbol" w:hAnsi="OpenSymbol" w:cs="Open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OpenSymbol" w:hAnsi="OpenSymbol" w:cs="OpenSymbol" w:hint="default"/>
      </w:rPr>
    </w:lvl>
    <w:lvl w:ilvl="5">
      <w:start w:val="1"/>
      <w:numFmt w:val="bullet"/>
      <w:lvlText w:val="▪"/>
      <w:lvlJc w:val="start"/>
      <w:pPr>
        <w:tabs>
          <w:tab w:val="num" w:pos="2760"/>
        </w:tabs>
        <w:ind w:start="2760" w:hanging="360"/>
      </w:pPr>
      <w:rPr>
        <w:rFonts w:ascii="OpenSymbol" w:hAnsi="OpenSymbol" w:cs="Open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OpenSymbol" w:hAnsi="OpenSymbol" w:cs="OpenSymbol" w:hint="default"/>
      </w:rPr>
    </w:lvl>
    <w:lvl w:ilvl="8">
      <w:start w:val="1"/>
      <w:numFmt w:val="bullet"/>
      <w:lvlText w:val="▪"/>
      <w:lvlJc w:val="start"/>
      <w:pPr>
        <w:tabs>
          <w:tab w:val="num" w:pos="3840"/>
        </w:tabs>
        <w:ind w:start="3840" w:hanging="360"/>
      </w:pPr>
      <w:rPr>
        <w:rFonts w:ascii="OpenSymbol" w:hAnsi="OpenSymbol" w:cs="OpenSymbol" w:hint="default"/>
      </w:rPr>
    </w:lvl>
  </w:abstractNum>
  <w:abstractNum w:abstractNumId="4">
    <w:lvl w:ilvl="0">
      <w:start w:val="1"/>
      <w:numFmt w:val="decimal"/>
      <w:lvlText w:val="%1."/>
      <w:lvlJc w:val="start"/>
      <w:pPr>
        <w:tabs>
          <w:tab w:val="num" w:pos="960"/>
        </w:tabs>
        <w:ind w:start="960" w:hanging="360"/>
      </w:pPr>
      <w:rPr/>
    </w:lvl>
    <w:lvl w:ilvl="1">
      <w:start w:val="1"/>
      <w:numFmt w:val="decimal"/>
      <w:lvlText w:val="%2."/>
      <w:lvlJc w:val="start"/>
      <w:pPr>
        <w:tabs>
          <w:tab w:val="num" w:pos="1320"/>
        </w:tabs>
        <w:ind w:start="1320" w:hanging="360"/>
      </w:pPr>
      <w:rPr/>
    </w:lvl>
    <w:lvl w:ilvl="2">
      <w:start w:val="1"/>
      <w:numFmt w:val="decimal"/>
      <w:lvlText w:val="%3."/>
      <w:lvlJc w:val="start"/>
      <w:pPr>
        <w:tabs>
          <w:tab w:val="num" w:pos="1680"/>
        </w:tabs>
        <w:ind w:start="1680" w:hanging="360"/>
      </w:pPr>
      <w:rPr/>
    </w:lvl>
    <w:lvl w:ilvl="3">
      <w:start w:val="1"/>
      <w:numFmt w:val="decimal"/>
      <w:lvlText w:val="%4."/>
      <w:lvlJc w:val="start"/>
      <w:pPr>
        <w:tabs>
          <w:tab w:val="num" w:pos="2040"/>
        </w:tabs>
        <w:ind w:start="2040" w:hanging="360"/>
      </w:pPr>
      <w:rPr/>
    </w:lvl>
    <w:lvl w:ilvl="4">
      <w:start w:val="1"/>
      <w:numFmt w:val="decimal"/>
      <w:lvlText w:val="%5."/>
      <w:lvlJc w:val="start"/>
      <w:pPr>
        <w:tabs>
          <w:tab w:val="num" w:pos="2400"/>
        </w:tabs>
        <w:ind w:start="2400" w:hanging="360"/>
      </w:pPr>
      <w:rPr/>
    </w:lvl>
    <w:lvl w:ilvl="5">
      <w:start w:val="1"/>
      <w:numFmt w:val="decimal"/>
      <w:lvlText w:val="%6."/>
      <w:lvlJc w:val="start"/>
      <w:pPr>
        <w:tabs>
          <w:tab w:val="num" w:pos="2760"/>
        </w:tabs>
        <w:ind w:start="2760" w:hanging="360"/>
      </w:pPr>
      <w:rPr/>
    </w:lvl>
    <w:lvl w:ilvl="6">
      <w:start w:val="1"/>
      <w:numFmt w:val="decimal"/>
      <w:lvlText w:val="%7."/>
      <w:lvlJc w:val="start"/>
      <w:pPr>
        <w:tabs>
          <w:tab w:val="num" w:pos="3120"/>
        </w:tabs>
        <w:ind w:start="3120" w:hanging="360"/>
      </w:pPr>
      <w:rPr/>
    </w:lvl>
    <w:lvl w:ilvl="7">
      <w:start w:val="1"/>
      <w:numFmt w:val="decimal"/>
      <w:lvlText w:val="%8."/>
      <w:lvlJc w:val="start"/>
      <w:pPr>
        <w:tabs>
          <w:tab w:val="num" w:pos="3480"/>
        </w:tabs>
        <w:ind w:start="3480" w:hanging="360"/>
      </w:pPr>
      <w:rPr/>
    </w:lvl>
    <w:lvl w:ilvl="8">
      <w:start w:val="1"/>
      <w:numFmt w:val="decimal"/>
      <w:lvlText w:val="%9."/>
      <w:lvlJc w:val="start"/>
      <w:pPr>
        <w:tabs>
          <w:tab w:val="num" w:pos="3840"/>
        </w:tabs>
        <w:ind w:start="3840" w:hanging="360"/>
      </w:pPr>
      <w:rPr/>
    </w:lvl>
  </w:abstractNum>
  <w:abstractNum w:abstractNumId="5">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OpenSymbol" w:hAnsi="OpenSymbol" w:cs="OpenSymbol" w:hint="default"/>
      </w:rPr>
    </w:lvl>
    <w:lvl w:ilvl="2">
      <w:start w:val="1"/>
      <w:numFmt w:val="bullet"/>
      <w:lvlText w:val="▪"/>
      <w:lvlJc w:val="start"/>
      <w:pPr>
        <w:tabs>
          <w:tab w:val="num" w:pos="1680"/>
        </w:tabs>
        <w:ind w:start="1680" w:hanging="360"/>
      </w:pPr>
      <w:rPr>
        <w:rFonts w:ascii="OpenSymbol" w:hAnsi="OpenSymbol" w:cs="Open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OpenSymbol" w:hAnsi="OpenSymbol" w:cs="OpenSymbol" w:hint="default"/>
      </w:rPr>
    </w:lvl>
    <w:lvl w:ilvl="5">
      <w:start w:val="1"/>
      <w:numFmt w:val="bullet"/>
      <w:lvlText w:val="▪"/>
      <w:lvlJc w:val="start"/>
      <w:pPr>
        <w:tabs>
          <w:tab w:val="num" w:pos="2760"/>
        </w:tabs>
        <w:ind w:start="2760" w:hanging="360"/>
      </w:pPr>
      <w:rPr>
        <w:rFonts w:ascii="OpenSymbol" w:hAnsi="OpenSymbol" w:cs="Open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OpenSymbol" w:hAnsi="OpenSymbol" w:cs="OpenSymbol" w:hint="default"/>
      </w:rPr>
    </w:lvl>
    <w:lvl w:ilvl="8">
      <w:start w:val="1"/>
      <w:numFmt w:val="bullet"/>
      <w:lvlText w:val="▪"/>
      <w:lvlJc w:val="start"/>
      <w:pPr>
        <w:tabs>
          <w:tab w:val="num" w:pos="3840"/>
        </w:tabs>
        <w:ind w:start="3840" w:hanging="360"/>
      </w:pPr>
      <w:rPr>
        <w:rFonts w:ascii="OpenSymbol" w:hAnsi="OpenSymbol" w:cs="OpenSymbol" w:hint="default"/>
      </w:rPr>
    </w:lvl>
  </w:abstractNum>
  <w:abstractNum w:abstractNumId="6">
    <w:lvl w:ilvl="0">
      <w:start w:val="1"/>
      <w:numFmt w:val="bullet"/>
      <w:lvlText w:val=""/>
      <w:lvlJc w:val="start"/>
      <w:pPr>
        <w:tabs>
          <w:tab w:val="num" w:pos="960"/>
        </w:tabs>
        <w:ind w:start="960" w:hanging="360"/>
      </w:pPr>
      <w:rPr>
        <w:rFonts w:ascii="Symbol" w:hAnsi="Symbol" w:cs="Symbol" w:hint="default"/>
      </w:rPr>
    </w:lvl>
    <w:lvl w:ilvl="1">
      <w:start w:val="1"/>
      <w:numFmt w:val="bullet"/>
      <w:lvlText w:val="◦"/>
      <w:lvlJc w:val="start"/>
      <w:pPr>
        <w:tabs>
          <w:tab w:val="num" w:pos="1320"/>
        </w:tabs>
        <w:ind w:start="1320" w:hanging="360"/>
      </w:pPr>
      <w:rPr>
        <w:rFonts w:ascii="OpenSymbol" w:hAnsi="OpenSymbol" w:cs="OpenSymbol" w:hint="default"/>
      </w:rPr>
    </w:lvl>
    <w:lvl w:ilvl="2">
      <w:start w:val="1"/>
      <w:numFmt w:val="bullet"/>
      <w:lvlText w:val="▪"/>
      <w:lvlJc w:val="start"/>
      <w:pPr>
        <w:tabs>
          <w:tab w:val="num" w:pos="1680"/>
        </w:tabs>
        <w:ind w:start="1680" w:hanging="360"/>
      </w:pPr>
      <w:rPr>
        <w:rFonts w:ascii="OpenSymbol" w:hAnsi="OpenSymbol" w:cs="OpenSymbol" w:hint="default"/>
      </w:rPr>
    </w:lvl>
    <w:lvl w:ilvl="3">
      <w:start w:val="1"/>
      <w:numFmt w:val="bullet"/>
      <w:lvlText w:val=""/>
      <w:lvlJc w:val="start"/>
      <w:pPr>
        <w:tabs>
          <w:tab w:val="num" w:pos="2040"/>
        </w:tabs>
        <w:ind w:start="2040" w:hanging="360"/>
      </w:pPr>
      <w:rPr>
        <w:rFonts w:ascii="Symbol" w:hAnsi="Symbol" w:cs="Symbol" w:hint="default"/>
      </w:rPr>
    </w:lvl>
    <w:lvl w:ilvl="4">
      <w:start w:val="1"/>
      <w:numFmt w:val="bullet"/>
      <w:lvlText w:val="◦"/>
      <w:lvlJc w:val="start"/>
      <w:pPr>
        <w:tabs>
          <w:tab w:val="num" w:pos="2400"/>
        </w:tabs>
        <w:ind w:start="2400" w:hanging="360"/>
      </w:pPr>
      <w:rPr>
        <w:rFonts w:ascii="OpenSymbol" w:hAnsi="OpenSymbol" w:cs="OpenSymbol" w:hint="default"/>
      </w:rPr>
    </w:lvl>
    <w:lvl w:ilvl="5">
      <w:start w:val="1"/>
      <w:numFmt w:val="bullet"/>
      <w:lvlText w:val="▪"/>
      <w:lvlJc w:val="start"/>
      <w:pPr>
        <w:tabs>
          <w:tab w:val="num" w:pos="2760"/>
        </w:tabs>
        <w:ind w:start="2760" w:hanging="360"/>
      </w:pPr>
      <w:rPr>
        <w:rFonts w:ascii="OpenSymbol" w:hAnsi="OpenSymbol" w:cs="OpenSymbol" w:hint="default"/>
      </w:rPr>
    </w:lvl>
    <w:lvl w:ilvl="6">
      <w:start w:val="1"/>
      <w:numFmt w:val="bullet"/>
      <w:lvlText w:val=""/>
      <w:lvlJc w:val="start"/>
      <w:pPr>
        <w:tabs>
          <w:tab w:val="num" w:pos="3120"/>
        </w:tabs>
        <w:ind w:start="3120" w:hanging="360"/>
      </w:pPr>
      <w:rPr>
        <w:rFonts w:ascii="Symbol" w:hAnsi="Symbol" w:cs="Symbol" w:hint="default"/>
      </w:rPr>
    </w:lvl>
    <w:lvl w:ilvl="7">
      <w:start w:val="1"/>
      <w:numFmt w:val="bullet"/>
      <w:lvlText w:val="◦"/>
      <w:lvlJc w:val="start"/>
      <w:pPr>
        <w:tabs>
          <w:tab w:val="num" w:pos="3480"/>
        </w:tabs>
        <w:ind w:start="3480" w:hanging="360"/>
      </w:pPr>
      <w:rPr>
        <w:rFonts w:ascii="OpenSymbol" w:hAnsi="OpenSymbol" w:cs="OpenSymbol" w:hint="default"/>
      </w:rPr>
    </w:lvl>
    <w:lvl w:ilvl="8">
      <w:start w:val="1"/>
      <w:numFmt w:val="bullet"/>
      <w:lvlText w:val="▪"/>
      <w:lvlJc w:val="start"/>
      <w:pPr>
        <w:tabs>
          <w:tab w:val="num" w:pos="3840"/>
        </w:tabs>
        <w:ind w:start="384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2"/>
      </w:numPr>
      <w:spacing w:before="120" w:after="120"/>
      <w:outlineLvl w:val="3"/>
    </w:pPr>
    <w:rPr>
      <w:b/>
      <w:bCs/>
      <w:i/>
      <w:iCs/>
      <w:sz w:val="26"/>
      <w:szCs w:val="26"/>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09/MLSP55214.2022.9943373" TargetMode="External"/><Relationship Id="rId3" Type="http://schemas.openxmlformats.org/officeDocument/2006/relationships/hyperlink" Target="https://ieeexplore.ieee.org/document/9943373" TargetMode="External"/><Relationship Id="rId4" Type="http://schemas.openxmlformats.org/officeDocument/2006/relationships/hyperlink" Target="https://archive.ics.uci.edu/dataset/45/heart+disease" TargetMode="External"/><Relationship Id="rId5" Type="http://schemas.openxmlformats.org/officeDocument/2006/relationships/hyperlink" Target="https://www.kaggle.com/datasets/sid321axn/heart-statlog-cleveland-hungary-final"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github.com/Beytullahp42/HeartDiseasePrediction-ML"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9</Pages>
  <Words>2130</Words>
  <Characters>12704</Characters>
  <CharactersWithSpaces>14550</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2026-01-12T06:43:45Z</dcterms:created>
  <dc:creator/>
  <dc:description/>
  <dc:language>en-US</dc:language>
  <cp:lastModifiedBy/>
  <dcterms:modified xsi:type="dcterms:W3CDTF">2026-01-12T18:50:26Z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