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Aerchain Quote Intelligence — 5-6 Minute Spoken Walkthrough Script</w:t>
      </w:r>
    </w:p>
    <w:p>
      <w:pPr>
        <w:spacing w:after="300"/>
      </w:pPr>
      <w:r>
        <w:rPr>
          <w:b/>
          <w:bCs/>
        </w:rPr>
        <w:t xml:space="preserve">Topic: </w:t>
      </w:r>
      <w:r>
        <w:t xml:space="preserve">"Kill the Quote Spreadsheet" — Autonomous Quotation Ingestion &amp; Decision Intelligence
</w:t>
      </w:r>
      <w:r>
        <w:rPr>
          <w:b/>
          <w:bCs/>
        </w:rPr>
        <w:t xml:space="preserve">Category: </w:t>
      </w:r>
      <w:r>
        <w:t xml:space="preserve">Corrugated Packaging Annual Procurement 2026 (30 Line Items × 5 Competing Suppliers)
</w:t>
      </w:r>
      <w:r>
        <w:rPr>
          <w:b/>
          <w:bCs/>
        </w:rPr>
        <w:t xml:space="preserve">Presenter: </w:t>
      </w:r>
      <w:r>
        <w:t xml:space="preserve">Souvik Ghosh
</w:t>
      </w:r>
      <w:r>
        <w:rPr>
          <w:b/>
          <w:bCs/>
        </w:rPr>
        <w:t xml:space="preserve">Target Duration: </w:t>
      </w:r>
      <w:r>
        <w:t xml:space="preserve">5 to 6 Minutes (~750 words at 130–140 WPM)
</w:t>
      </w:r>
    </w:p>
    <w:p>
      <w:pPr>
        <w:pStyle w:val="Heading1"/>
        <w:spacing w:after="150" w:before="200"/>
      </w:pPr>
      <w:r>
        <w:t xml:space="preserve">🎙️ Verbatim Spoken Script</w:t>
      </w:r>
    </w:p>
    <w:p>
      <w:pPr>
        <w:pStyle w:val="Heading2"/>
        <w:spacing w:after="100" w:before="150"/>
      </w:pPr>
      <w:r>
        <w:t xml:space="preserve">[0:00 – 1:00] The Hook &amp; "The Lost Week" in Procurement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Start on the homepage or header showing "Corrugated Packaging Annual Procurement 2026"</w:t>
      </w:r>
    </w:p>
    <w:p>
      <w:pPr>
        <w:spacing w:after="200"/>
      </w:pPr>
      <w:r>
        <w:t xml:space="preserve">“Good morning everyone.
</w:t>
      </w:r>
      <w:r>
        <w:t xml:space="preserve">Every procurement team in the enterprise suffers through what category managers call </w:t>
      </w:r>
      <w:r>
        <w:rPr>
          <w:b/>
          <w:bCs/>
        </w:rPr>
        <w:t xml:space="preserve">‘the lost week’</w:t>
      </w:r>
      <w:r>
        <w:t xml:space="preserve"> of quotation normalization.
</w:t>
      </w:r>
      <w:r>
        <w:t xml:space="preserve">Imagine you are managing an annual RFx for corrugated packaging across 30 distinct manufacturing SKUs—from standard single-wall cartons to heavy-duty export containers. You issue your RFx to five qualified suppliers, and what comes back is absolute chaos:
</w:t>
      </w:r>
      <w:r>
        <w:t xml:space="preserve">• One supplier sends an Excel sheet that completely ignored your template.
</w:t>
      </w:r>
      <w:r>
        <w:t xml:space="preserve">• Another sends a PDF with discounts and freight fees hidden in the footnotes.
</w:t>
      </w:r>
      <w:r>
        <w:t xml:space="preserve">• The third sends a Word document with commercial terms written as legal prose.
</w:t>
      </w:r>
      <w:r>
        <w:t xml:space="preserve">• The fourth sends a smartphone photo of a printed paper rate card.
</w:t>
      </w:r>
      <w:r>
        <w:t xml:space="preserve">• And the fifth sends an email quoted in US Dollars with non-standard payment terms.
</w:t>
      </w:r>
      <w:r>
        <w:t xml:space="preserve">Before a buyer can make even a single decision, they spend 30 to 40 hours manually copying numbers into a master spreadsheet, wrestling with currency conversions, and fixing unit mismatches. And when leadership asks: ‘What is our optimal split-award if we only buy from vendors who meet our quality criteria?’, the buyer is back to square one, building fragile VLOOKUP formulas from scratch.
</w:t>
      </w:r>
      <w:r>
        <w:t xml:space="preserve">Today, I’m showing you Aerchain Quote Intelligence—a solution built to replace that lost week with minutes of auditable, automated decision intelligence.”</w:t>
      </w:r>
    </w:p>
    <w:p>
      <w:pPr>
        <w:pStyle w:val="Heading2"/>
        <w:spacing w:after="100" w:before="150"/>
      </w:pPr>
      <w:r>
        <w:t xml:space="preserve">[1:00 – 2:00] Real Multimodal Ingestion &amp; Edge Cases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Click on the "Responses" tab to display the Response Roster with all 5 vendors</w:t>
      </w:r>
    </w:p>
    <w:p>
      <w:pPr>
        <w:spacing w:after="200"/>
      </w:pPr>
      <w:r>
        <w:t xml:space="preserve">“Let’s look at the Responses tab.
</w:t>
      </w:r>
      <w:r>
        <w:t xml:space="preserve">Under the hood, we are not using mocked data or static JSON fixtures. Every single quotation here comes from a real document processed through our multimodal extraction pipeline.
</w:t>
      </w:r>
      <w:r>
        <w:t xml:space="preserve">Notice the five different formats:
</w:t>
      </w:r>
      <w:r>
        <w:t xml:space="preserve">1. Apex Packaging submitted a .xlsx spreadsheet.
</w:t>
      </w:r>
      <w:r>
        <w:t xml:space="preserve">2. PackRight Corrugators submitted a .pdf.
</w:t>
      </w:r>
      <w:r>
        <w:t xml:space="preserve">3. EcoKraft submitted a .docx contract.
</w:t>
      </w:r>
      <w:r>
        <w:t xml:space="preserve">4. Vardhman Cartons submitted a raw .png image requiring OCR.
</w:t>
      </w:r>
      <w:r>
        <w:t xml:space="preserve">5. And Global Star submitted a .eml email file.
</w:t>
      </w:r>
      <w:r>
        <w:t xml:space="preserve">Our ingestion engine doesn’t just read tables—it identifies real-world commercial edge cases in real time:
</w:t>
      </w:r>
      <w:r>
        <w:t xml:space="preserve">• PackRight only quoted 27 out of 30 line items—deliberately omitting items 15, 18, and 28. The system detects this partial coverage immediately without breaking downstream calculations.
</w:t>
      </w:r>
      <w:r>
        <w:t xml:space="preserve">• Vardhman’s smartphone scan had visual noise on item 5, which the system flagged as low confidence.
</w:t>
      </w:r>
      <w:r>
        <w:t xml:space="preserve">• EcoKraft included a commercial clause tying box rates to virgin kraft paper indices from CRISIL and IPPMA.
</w:t>
      </w:r>
      <w:r>
        <w:t xml:space="preserve">• And Global Star quoted in USD instead of our RFx base currency of Indian Rupees.
</w:t>
      </w:r>
      <w:r>
        <w:t xml:space="preserve">All of these are parsed, flagged, and normalized into a single database schema.”</w:t>
      </w:r>
    </w:p>
    <w:p>
      <w:pPr>
        <w:pStyle w:val="Heading2"/>
        <w:spacing w:after="100" w:before="150"/>
      </w:pPr>
      <w:r>
        <w:t xml:space="preserve">[2:00 – 3:15] The Normalized Comparative Matrix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Click on the "Workspace" tab to display the 30-item comparative grid</w:t>
      </w:r>
    </w:p>
    <w:p>
      <w:pPr>
        <w:spacing w:after="200"/>
      </w:pPr>
      <w:r>
        <w:t xml:space="preserve">“Now, let’s switch to the Workspace tab. This is where the core value lies.
</w:t>
      </w:r>
      <w:r>
        <w:t xml:space="preserve">Instead of siloed vendor cards, we give category managers a dense, high-information comparative grid: all 30 RFx line items on rows, and all 5 competing suppliers on columns.
</w:t>
      </w:r>
      <w:r>
        <w:t xml:space="preserve">Take a close look at how the normalization engine handles complex units and currencies:
</w:t>
      </w:r>
      <w:r>
        <w:t xml:space="preserve">• On Line Item 10 (5-Ply Industrial Carton), Vardhman quoted ₹2,450 ‘Per 100 Pcs’. A naive system would compare 2,450 against 82 Rupees. Our system automatically recognized the pack specification, normalized it to ₹24.50 each, and flagged the unit mismatch.
</w:t>
      </w:r>
      <w:r>
        <w:t xml:space="preserve">• On Line Item 14, Vardhman provided a price but omitted the unit entirely. Rather than inventing a guess, our system flags it as ‘Unit not provided’ and sets the normalized price to null so it never corrupts total spend calculations.
</w:t>
      </w:r>
      <w:r>
        <w:t xml:space="preserve">• For Global Star, their USD quotation was converted into INR using live benchmark exchange rates, while preserving the raw dollar amount in the audit log.
</w:t>
      </w:r>
      <w:r>
        <w:t xml:space="preserve">The dynamic green badges instantly highlight the cheapest feasible rate per line, giving the category manager immediate market clarity across all 150 price points.”</w:t>
      </w:r>
    </w:p>
    <w:p>
      <w:pPr>
        <w:pStyle w:val="Heading2"/>
        <w:spacing w:after="100" w:before="150"/>
      </w:pPr>
      <w:r>
        <w:t xml:space="preserve">[3:15 – 4:15] Zero-Hallucination Auditability &amp; Buyer Overrides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Click on any matrix cell to open the "Quotation Cell Provenance &amp; Review" drawer</w:t>
      </w:r>
    </w:p>
    <w:p>
      <w:pPr>
        <w:spacing w:after="200"/>
      </w:pPr>
      <w:r>
        <w:t xml:space="preserve">“Now, here is the most critical question in enterprise procurement:
</w:t>
      </w:r>
      <w:r>
        <w:rPr>
          <w:b/>
          <w:bCs/>
        </w:rPr>
        <w:t xml:space="preserve">Would a category manager with ₹4 crore on the line trust a black-box AI?
</w:t>
      </w:r>
      <w:r>
        <w:t xml:space="preserve">The answer is never. And they shouldn’t have to.
</w:t>
      </w:r>
      <w:r>
        <w:t xml:space="preserve">When I click on any cell in this matrix, this Provenance Drawer opens.
</w:t>
      </w:r>
      <w:r>
        <w:t xml:space="preserve">Notice what we display:
</w:t>
      </w:r>
      <w:r>
        <w:t xml:space="preserve">1. The unique Extracted Line ID.
</w:t>
      </w:r>
      <w:r>
        <w:t xml:space="preserve">2. The AI’s confidence score.
</w:t>
      </w:r>
      <w:r>
        <w:t xml:space="preserve">3. And most importantly, the exact verbatim text snippet extracted directly from the supplier’s original document.
</w:t>
      </w:r>
      <w:r>
        <w:t xml:space="preserve">There are zero hallucinations. If an auditor asks why a rate is ₹22.50, the buyer can point to the exact page, line, and bounding box from the raw document.
</w:t>
      </w:r>
      <w:r>
        <w:t xml:space="preserve">Furthermore, we recognize that procurement is an active negotiation. If a buyer calls a supplier and negotiates a discount, they can enter a Buyer Override right here. Watch: I update the price, hit save, and the entire matrix, line total, and cheapest vendor rankings recalculate instantaneously.”</w:t>
      </w:r>
    </w:p>
    <w:p>
      <w:pPr>
        <w:pStyle w:val="Heading2"/>
        <w:spacing w:after="100" w:before="150"/>
      </w:pPr>
      <w:r>
        <w:t xml:space="preserve">[4:15 – 5:15] Supplier Qualification &amp; The AI Procurement Analyst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Click on the "Analyst" tab</w:t>
      </w:r>
    </w:p>
    <w:p>
      <w:pPr>
        <w:spacing w:after="200"/>
      </w:pPr>
      <w:r>
        <w:t xml:space="preserve">“Low price means nothing if a vendor cannot deliver. That’s why quote intelligence must incorporate governance and qualification.
</w:t>
      </w:r>
      <w:r>
        <w:t xml:space="preserve">In our dataset:
</w:t>
      </w:r>
      <w:r>
        <w:t xml:space="preserve">• Vardhman quoted very cheap prices on certain cartons. But they failed our ISO 9001 requirement, have inadequate converting capacity, and quoted a 25-day delivery lead time when our RFx maximum is 14 days. Accepting them would risk factory downtime. The system flags them as disqualified.
</w:t>
      </w:r>
      <w:r>
        <w:t xml:space="preserve">• Global Star requested commercial credit terms that are pending Euler Hermes underwriting, flagging them as unresolved.
</w:t>
      </w:r>
      <w:r>
        <w:t xml:space="preserve">Now we can ask our Procurement Analyst Co-Pilot:
</w:t>
      </w:r>
      <w:r>
        <w:rPr>
          <w:i/>
          <w:iCs/>
        </w:rPr>
        <w:t xml:space="preserve">‘What is our optimal split allocation across approved, compliant suppliers?’
</w:t>
      </w:r>
      <w:r>
        <w:t xml:space="preserve">With a single query, the co-pilot calculates the risk-adjusted split:
</w:t>
      </w:r>
      <w:r>
        <w:t xml:space="preserve">• Apex Packaging wins 12 items.
</w:t>
      </w:r>
      <w:r>
        <w:t xml:space="preserve">• EcoKraft wins 11 items.
</w:t>
      </w:r>
      <w:r>
        <w:t xml:space="preserve">• PackRight wins 7 items.
</w:t>
      </w:r>
      <w:r>
        <w:t xml:space="preserve">• Vardhman and Global Star are correctly excluded from the award recommendation.
</w:t>
      </w:r>
      <w:r>
        <w:t xml:space="preserve">We instantly get the exact multi-sourcing spend allocation, risk summary, and board-ready award justification.”</w:t>
      </w:r>
    </w:p>
    <w:p>
      <w:pPr>
        <w:pStyle w:val="Heading2"/>
        <w:spacing w:after="100" w:before="150"/>
      </w:pPr>
      <w:r>
        <w:t xml:space="preserve">[5:15 – 5:45] Conclusion</w:t>
      </w:r>
    </w:p>
    <w:p>
      <w:pPr>
        <w:spacing w:after="100"/>
      </w:pPr>
      <w:r>
        <w:rPr>
          <w:b/>
          <w:bCs/>
          <w:i/>
          <w:iCs/>
          <w:color w:val="1D4ED8"/>
        </w:rPr>
        <w:t xml:space="preserve">Visual Cue: </w:t>
      </w:r>
      <w:r>
        <w:rPr>
          <w:i/>
          <w:iCs/>
          <w:color w:val="1D4ED8"/>
        </w:rPr>
        <w:t xml:space="preserve">Return to the full Workspace view</w:t>
      </w:r>
    </w:p>
    <w:p>
      <w:pPr>
        <w:spacing w:after="300"/>
      </w:pPr>
      <w:r>
        <w:t xml:space="preserve">“To wrap up:
</w:t>
      </w:r>
      <w:r>
        <w:t xml:space="preserve">Aerchain Quote Intelligence takes the messy reality of enterprise procurement—unstructured documents, foreign currencies, pack-size discrepancies, and compliance hurdles—and turns it into structured, auditable decision intelligence.
</w:t>
      </w:r>
      <w:r>
        <w:t xml:space="preserve">We didn’t just automate data entry; we eliminated the ‘lost week’, protected the enterprise against governance risks, and gave category managers the confidence to defend multi-crore sourcing awards.
</w:t>
      </w:r>
      <w:r>
        <w:t xml:space="preserve">Thank you, and I’d be happy to take any questions or dive deeper into any part of the architecture.”</w:t>
      </w:r>
    </w:p>
    <w:p>
      <w:pPr>
        <w:pStyle w:val="Heading1"/>
        <w:spacing w:after="150" w:before="300"/>
      </w:pPr>
      <w:r>
        <w:t xml:space="preserve">📌 Speaker Quick Reference Cheat Sheet</w:t>
      </w:r>
    </w:p>
    <w:p>
      <w:pPr>
        <w:spacing w:after="200"/>
      </w:pPr>
      <w:r>
        <w:rPr>
          <w:b/>
          <w:bCs/>
        </w:rPr>
        <w:t xml:space="preserve">• Category &amp; Scope: </w:t>
      </w:r>
      <w:r>
        <w:t xml:space="preserve">Corrugated Packaging Annual Procurement 2026 (30 Line Items × 5 Competing Suppliers, ~₹4 Crore spend)
</w:t>
      </w:r>
      <w:r>
        <w:rPr>
          <w:b/>
          <w:bCs/>
        </w:rPr>
        <w:t xml:space="preserve">• Document Formats: </w:t>
      </w:r>
      <w:r>
        <w:t xml:space="preserve">.xlsx (Apex), .pdf (PackRight), .docx (EcoKraft), .png (Vardhman), .eml (Global Star)
</w:t>
      </w:r>
      <w:r>
        <w:rPr>
          <w:b/>
          <w:bCs/>
        </w:rPr>
        <w:t xml:space="preserve">• Edge 1 (Omissions): </w:t>
      </w:r>
      <w:r>
        <w:t xml:space="preserve">PackRight omitted 3 items (Items 15, 18, 28) → Exactly 27 of 30 items quoted
</w:t>
      </w:r>
      <w:r>
        <w:rPr>
          <w:b/>
          <w:bCs/>
        </w:rPr>
        <w:t xml:space="preserve">• Edge 2 (Pack Unit): </w:t>
      </w:r>
      <w:r>
        <w:t xml:space="preserve">Vardhman Item 10: Quoted ₹2,450 "Per 100 Pcs" → Normalized to ₹24.50 EA
</w:t>
      </w:r>
      <w:r>
        <w:rPr>
          <w:b/>
          <w:bCs/>
        </w:rPr>
        <w:t xml:space="preserve">• Edge 3 (Missing Unit): </w:t>
      </w:r>
      <w:r>
        <w:t xml:space="preserve">Vardhman Item 14: Price given but no unit → Tagged "Unit not provided", price null
</w:t>
      </w:r>
      <w:r>
        <w:rPr>
          <w:b/>
          <w:bCs/>
        </w:rPr>
        <w:t xml:space="preserve">• Edge 4 (Currency): </w:t>
      </w:r>
      <w:r>
        <w:t xml:space="preserve">Global Star: Quoted in USD ($0.16) → Normalized to INR (₹13.33)
</w:t>
      </w:r>
      <w:r>
        <w:rPr>
          <w:b/>
          <w:bCs/>
        </w:rPr>
        <w:t xml:space="preserve">• Edge 5 (Escalation): </w:t>
      </w:r>
      <w:r>
        <w:t xml:space="preserve">EcoKraft: Commercial clause indexed to virgin kraft paper prices (CRISIL/IPPMA)
</w:t>
      </w:r>
      <w:r>
        <w:rPr>
          <w:b/>
          <w:bCs/>
        </w:rPr>
        <w:t xml:space="preserve">• Edge 6 (OCR Noise): </w:t>
      </w:r>
      <w:r>
        <w:t xml:space="preserve">Vardhman Item 5: Low-confidence OCR price (0.42 confidence) flagged for review
</w:t>
      </w:r>
      <w:r>
        <w:rPr>
          <w:b/>
          <w:bCs/>
        </w:rPr>
        <w:t xml:space="preserve">• Supplier Qualification: </w:t>
      </w:r>
      <w:r>
        <w:t xml:space="preserve">3 Pass (Apex, PackRight, EcoKraft); 1 Fail (Vardhman: No ISO, 25-day lead time); 1 Unresolved (Global Star: Net 30 pending Euler credit)
</w:t>
      </w:r>
      <w:r>
        <w:rPr>
          <w:b/>
          <w:bCs/>
        </w:rPr>
        <w:t xml:space="preserve">• Optimal Split Award: </w:t>
      </w:r>
      <w:r>
        <w:t xml:space="preserve">Apex (12 SKUs), EcoKraft (11 SKUs), PackRight (7 SKUs)
</w:t>
      </w:r>
      <w:r>
        <w:rPr>
          <w:b/>
          <w:bCs/>
        </w:rPr>
        <w:t xml:space="preserve">• Core Architecture: </w:t>
      </w:r>
      <w:r>
        <w:t xml:space="preserve">Full-Stack TypeScript: Fastify + Drizzle ORM + SQLite + Gemini Vision AI + React 18 + Vite + Tailwind CSS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2026-09-24T08:37:10.340Z</dcterms:created>
  <dcterms:modified xsi:type="dcterms:W3CDTF">2026-09-24T08:37:10.341Z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