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Überschrift"/>
        <w:jc w:val="center"/>
      </w:pPr>
      <w:r>
        <w:t>Bericht der Gigabit-Geschäftsstelle vom 26.10.2018</w:t>
        <w:br/>
      </w:r>
    </w:p>
    <w:p>
      <w:pPr>
        <w:pStyle w:val="Text"/>
      </w:pPr>
      <w:r>
        <w:t>Insgesamt sind 1339 förderfähige Adresspunkte in der Datenbank erfasst. Diese gehören zu 1178 Schulen nach Schulgesetz und 16 anderen förderfähigen Standorten.</w:t>
        <w:br/>
      </w:r>
    </w:p>
    <w:p>
      <w:pPr>
        <w:pStyle w:val="Text"/>
      </w:pPr>
      <w:r>
        <w:t>Von den förderfähigen Adresspunkten existiert von 1120 Adresspunkten eine Rückmeldung über die aktuelle Versorgungslage. Die durchschnittliche Bandbreite der erfassten Adresspunkte liegt bei 129 MBit/S im Download und bei 55 MBit/S im Upload.</w:t>
        <w:br/>
      </w:r>
    </w:p>
    <w:p>
      <w:pPr>
        <w:pStyle w:val="Überschrift2"/>
      </w:pPr>
      <w:r>
        <w:t>Statistik</w:t>
        <w:br/>
      </w:r>
    </w:p>
    <w:p>
      <w:pPr>
        <w:pStyle w:val="Text"/>
      </w:pPr>
      <w:r>
        <w:t>Standorte nach Schulformen: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p>
            <w:r>
              <w:t>Standorte gesamt</w:t>
            </w:r>
          </w:p>
        </w:tc>
        <w:tc>
          <w:p>
            <w:r>
              <w:t>Grundschulen</w:t>
            </w:r>
          </w:p>
        </w:tc>
        <w:tc>
          <w:p>
            <w:r>
              <w:t>Sek I</w:t>
            </w:r>
          </w:p>
        </w:tc>
        <w:tc>
          <w:p>
            <w:r>
              <w:t>Sek II</w:t>
            </w:r>
          </w:p>
        </w:tc>
        <w:tc>
          <w:p>
            <w:r>
              <w:t>BK</w:t>
            </w:r>
          </w:p>
        </w:tc>
        <w:tc>
          <w:p>
            <w:r>
              <w:t>Sonstige Schulen</w:t>
            </w:r>
          </w:p>
        </w:tc>
      </w:tr>
      <w:tr>
        <w:tc>
          <w:p>
            <w:r>
              <w:t>In der Datenbank</w:t>
            </w:r>
          </w:p>
        </w:tc>
        <w:tc>
          <w:p>
            <w:r>
              <w:t>1339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Anschluss erfasst</w:t>
            </w:r>
          </w:p>
        </w:tc>
        <w:tc>
          <w:p>
            <w:r>
              <w:t>1120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ohne Gigabit-Anschluss</w:t>
            </w:r>
          </w:p>
        </w:tc>
        <w:tc>
          <w:p>
            <w:r>
              <w:t>1099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Durchschnittliche</w:t>
              <w:br/>
              <w:t>Bandbreite</w:t>
            </w:r>
          </w:p>
        </w:tc>
        <w:tc>
          <w:p>
            <w:r>
              <w:t>129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Bandbreite pro Schüler</w:t>
            </w:r>
          </w:p>
        </w:tc>
        <w:tc>
          <w:p>
            <w:r>
              <w:t>todo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</w:tbl>
    <w:p>
      <w:r>
        <w:br/>
      </w:r>
    </w:p>
    <w:p>
      <w:pPr>
        <w:pStyle w:val="Text"/>
      </w:pPr>
      <w:r>
        <w:t>Schulen nach Regionen: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100"/>
          <w:bottom w:type="dxa" w:w="10"/>
          <w:right w:type="dxa" w:w="100"/>
        </w:tblCellMar>
      </w:tblPr>
      <w:tr>
        <w:tc>
          <w:p>
            <w:r>
              <w:t/>
            </w:r>
          </w:p>
        </w:tc>
        <w:tc>
          <w:p>
            <w:r>
              <w:t>Gesamt</w:t>
            </w:r>
          </w:p>
        </w:tc>
        <w:tc>
          <w:p>
            <w:r>
              <w:t>BO</w:t>
            </w:r>
          </w:p>
        </w:tc>
        <w:tc>
          <w:p>
            <w:r>
              <w:t>DO</w:t>
            </w:r>
          </w:p>
        </w:tc>
        <w:tc>
          <w:p>
            <w:r>
              <w:t>EN</w:t>
            </w:r>
          </w:p>
        </w:tc>
        <w:tc>
          <w:p>
            <w:r>
              <w:t>HA</w:t>
            </w:r>
          </w:p>
        </w:tc>
        <w:tc>
          <w:p>
            <w:r>
              <w:t>HAM</w:t>
            </w:r>
          </w:p>
        </w:tc>
        <w:tc>
          <w:p>
            <w:r>
              <w:t>HSK</w:t>
            </w:r>
          </w:p>
        </w:tc>
        <w:tc>
          <w:p>
            <w:r>
              <w:t>MK</w:t>
            </w:r>
          </w:p>
        </w:tc>
        <w:tc>
          <w:p>
            <w:r>
              <w:t>OE</w:t>
            </w:r>
          </w:p>
        </w:tc>
        <w:tc>
          <w:p>
            <w:r>
              <w:t>SI</w:t>
            </w:r>
          </w:p>
        </w:tc>
        <w:tc>
          <w:p>
            <w:r>
              <w:t>SO</w:t>
            </w:r>
          </w:p>
        </w:tc>
        <w:tc>
          <w:p>
            <w:r>
              <w:t>UN</w:t>
            </w:r>
          </w:p>
        </w:tc>
      </w:tr>
      <w:tr>
        <w:tc>
          <w:p>
            <w:r>
              <w:t>In der Datenbank</w:t>
            </w:r>
          </w:p>
        </w:tc>
        <w:tc>
          <w:p>
            <w:r>
              <w:t>x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Anschluss erfasst</w:t>
            </w:r>
          </w:p>
        </w:tc>
        <w:tc>
          <w:p>
            <w:r>
              <w:t>x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ohne Gigabit-Anschluss</w:t>
            </w:r>
          </w:p>
        </w:tc>
        <w:tc>
          <w:p>
            <w:r>
              <w:t>x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Durchschnittliche</w:t>
              <w:br/>
              <w:t>Bandbreite</w:t>
            </w:r>
          </w:p>
        </w:tc>
        <w:tc>
          <w:p>
            <w:r>
              <w:t>x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  <w:tr>
        <w:tc>
          <w:p>
            <w:r>
              <w:t>Bandbreite pro Schüler</w:t>
            </w:r>
          </w:p>
        </w:tc>
        <w:tc>
          <w:p>
            <w:r>
              <w:t>x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  <w:tc>
          <w:p>
            <w:r>
              <w:t>y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Überschrift" w:type="paragraph">
    <w:name w:val="Überschrift"/>
    <w:uiPriority w:val="1"/>
    <w:unhideWhenUsed/>
    <w:qFormat/>
    <w:pPr>
      <w:outlineLvl w:val="1"/>
    </w:pPr>
    <w:rPr>
      <w:rFonts w:ascii="Times New Roman"/>
      <w:color w:val="4288BC"/>
      <w:sz w:val="68"/>
      <w:szCs w:val="24"/>
    </w:rPr>
  </w:style>
  <w:style w:styleId="Überschrift2" w:type="paragraph">
    <w:name w:val="Überschrift2"/>
    <w:uiPriority w:val="2"/>
    <w:unhideWhenUsed/>
    <w:qFormat/>
    <w:pPr>
      <w:outlineLvl w:val="2"/>
    </w:pPr>
    <w:rPr>
      <w:rFonts w:ascii="Times New Roman"/>
      <w:color w:val="000000"/>
      <w:sz w:val="56"/>
      <w:szCs w:val="24"/>
    </w:rPr>
  </w:style>
  <w:style w:styleId="Tabellenkopf" w:type="paragraph">
    <w:name w:val="Tabellenkopf"/>
    <w:uiPriority w:val="3"/>
    <w:unhideWhenUsed/>
    <w:qFormat/>
    <w:pPr>
      <w:outlineLvl w:val="3"/>
    </w:pPr>
    <w:rPr>
      <w:rFonts w:ascii="Times New Roman"/>
      <w:color w:val="4288BC"/>
      <w:sz w:val="32"/>
      <w:szCs w:val="24"/>
    </w:rPr>
  </w:style>
  <w:style w:styleId="Gerade Tabellenzelle" w:type="paragraph">
    <w:name w:val="Gerade Tabellenzelle"/>
    <w:uiPriority w:val="4"/>
    <w:unhideWhenUsed/>
    <w:qFormat/>
    <w:pPr>
      <w:outlineLvl w:val="4"/>
    </w:pPr>
    <w:rPr>
      <w:rFonts w:ascii="Times New Roman"/>
      <w:color w:val="000000"/>
      <w:sz w:val="28"/>
      <w:szCs w:val="24"/>
    </w:rPr>
  </w:style>
  <w:style w:styleId="Ungerade Tabellenzelle" w:type="paragraph">
    <w:name w:val="Ungerade Tabellenzelle"/>
    <w:uiPriority w:val="5"/>
    <w:unhideWhenUsed/>
    <w:qFormat/>
    <w:pPr>
      <w:outlineLvl w:val="5"/>
    </w:pPr>
    <w:rPr>
      <w:rFonts w:ascii="Times New Roman"/>
      <w:color w:val="000000"/>
      <w:sz w:val="28"/>
      <w:szCs w:val="24"/>
    </w:rPr>
  </w:style>
  <w:style w:styleId="Text" w:type="paragraph">
    <w:name w:val="Text"/>
    <w:uiPriority w:val="6"/>
    <w:unhideWhenUsed/>
    <w:qFormat/>
    <w:pPr>
      <w:outlineLvl w:val="6"/>
    </w:pPr>
    <w:rPr>
      <w:rFonts w:ascii="Times New Roman"/>
      <w:color w:val="000000"/>
      <w:sz w:val="28"/>
      <w:szCs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2018-10-26T15:45:57Z</dcterms:created>
  <dc:creator>Apache POI</dc:creator>
</cp:coreProperties>
</file>