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0A51" w14:textId="5B4E1981" w:rsidR="0054459E" w:rsidRDefault="00EB4690">
      <w:r w:rsidRPr="00EB4690">
        <w:t>Требования к РЛС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00BF" w14:paraId="430DC73E" w14:textId="77777777" w:rsidTr="007F00BF">
        <w:tc>
          <w:tcPr>
            <w:tcW w:w="9345" w:type="dxa"/>
          </w:tcPr>
          <w:p w14:paraId="58B471FA" w14:textId="77777777" w:rsidR="007F00BF" w:rsidRPr="007F00BF" w:rsidRDefault="007F00BF" w:rsidP="007F00BF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3A3A3A"/>
                <w:kern w:val="36"/>
                <w:sz w:val="48"/>
                <w:szCs w:val="48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kern w:val="36"/>
                <w:sz w:val="48"/>
                <w:szCs w:val="48"/>
                <w:lang w:eastAsia="ru-RU"/>
              </w:rPr>
              <w:t>Требования к РЛС</w:t>
            </w:r>
          </w:p>
          <w:p w14:paraId="1D855652" w14:textId="77777777" w:rsidR="007F00BF" w:rsidRPr="007F00BF" w:rsidRDefault="007F00BF" w:rsidP="007F00BF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b/>
                <w:bCs/>
                <w:color w:val="3A3A3A"/>
                <w:sz w:val="21"/>
                <w:szCs w:val="21"/>
                <w:u w:val="single"/>
                <w:lang w:eastAsia="ru-RU"/>
              </w:rPr>
              <w:t>Общие сведения</w:t>
            </w:r>
          </w:p>
          <w:p w14:paraId="1F4D3ABE" w14:textId="77777777" w:rsidR="007F00BF" w:rsidRPr="007F00BF" w:rsidRDefault="007F00BF" w:rsidP="007F00BF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Действующие правила IEC</w:t>
            </w:r>
          </w:p>
          <w:p w14:paraId="70D35247" w14:textId="77777777" w:rsidR="007F00BF" w:rsidRPr="007F00BF" w:rsidRDefault="007F00BF" w:rsidP="007F00BF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Действующие правила СОЛАС</w:t>
            </w:r>
          </w:p>
          <w:p w14:paraId="76086407" w14:textId="77777777" w:rsidR="007F00BF" w:rsidRPr="007F00BF" w:rsidRDefault="007F00BF" w:rsidP="007F00BF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Проектируемые правила IEC</w:t>
            </w:r>
          </w:p>
          <w:p w14:paraId="3AF252A9" w14:textId="77777777" w:rsidR="007F00BF" w:rsidRPr="007F00BF" w:rsidRDefault="007F00BF" w:rsidP="007F00BF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Проектируемые правила СОЛАС</w:t>
            </w:r>
          </w:p>
          <w:p w14:paraId="7D59E971" w14:textId="77777777" w:rsidR="007F00BF" w:rsidRPr="007F00BF" w:rsidRDefault="007F00BF" w:rsidP="007F00B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Основные качественные показатели радиолокационных станций (действующие)</w:t>
            </w:r>
          </w:p>
          <w:p w14:paraId="7D5DA243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Экологические требования — IEC 60945 4-е издание</w:t>
            </w:r>
          </w:p>
          <w:p w14:paraId="0C26DB41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Эксплуатационные требования — IEC 60936-1 и IEC 936(1988)</w:t>
            </w:r>
          </w:p>
          <w:p w14:paraId="49B60A47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Требования для высокоскоростных катеров — IEC 60936-2</w:t>
            </w:r>
          </w:p>
          <w:p w14:paraId="67B53270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Эксплуатационные требования к САРП — IEC 60872-1 и IEC 872(1987)</w:t>
            </w:r>
          </w:p>
          <w:p w14:paraId="2D5CDB10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Эксплуатационные требования к САС — IEC 60872-2</w:t>
            </w:r>
          </w:p>
          <w:p w14:paraId="5E4CCFA0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Эксплуатационные требования к СЭП — IEC 60872-3</w:t>
            </w:r>
          </w:p>
          <w:p w14:paraId="43C60CA9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Использование и вывод данных на РЛС информации АИС — IEC/PAS 60936-5</w:t>
            </w:r>
          </w:p>
          <w:p w14:paraId="1FE07993" w14:textId="77777777" w:rsidR="007F00BF" w:rsidRP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Всё оборудование маркировано “</w:t>
            </w:r>
            <w:proofErr w:type="spellStart"/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Wheelmark</w:t>
            </w:r>
            <w:proofErr w:type="spellEnd"/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”</w:t>
            </w:r>
          </w:p>
          <w:p w14:paraId="485369C7" w14:textId="2AB925D6" w:rsidR="007F00BF" w:rsidRDefault="007F00BF" w:rsidP="007F00BF">
            <w:pPr>
              <w:numPr>
                <w:ilvl w:val="0"/>
                <w:numId w:val="2"/>
              </w:numPr>
              <w:shd w:val="clear" w:color="auto" w:fill="FFFFFF"/>
            </w:pPr>
            <w:r w:rsidRPr="007F00B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Общие положения МСЭ</w:t>
            </w:r>
          </w:p>
        </w:tc>
      </w:tr>
      <w:tr w:rsidR="007F00BF" w14:paraId="05234101" w14:textId="77777777" w:rsidTr="007F00BF">
        <w:tc>
          <w:tcPr>
            <w:tcW w:w="9345" w:type="dxa"/>
          </w:tcPr>
          <w:p w14:paraId="6799288D" w14:textId="5DE8AADD" w:rsidR="007F00BF" w:rsidRDefault="00CD5853" w:rsidP="00CD5853">
            <w:pPr>
              <w:shd w:val="clear" w:color="auto" w:fill="FFFFFF"/>
            </w:pPr>
            <w:r>
              <w:t>Примечания к таблице (</w:t>
            </w:r>
            <w:r w:rsidRPr="007F00BF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Действующие требования установки:</w:t>
            </w:r>
            <w:r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 xml:space="preserve"> </w:t>
            </w:r>
            <w:r w:rsidRPr="007F00BF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lang w:eastAsia="ru-RU"/>
              </w:rPr>
              <w:t>Требование к скоростным судам от 1 июля 2002 года</w:t>
            </w:r>
            <w:r>
              <w:t>)</w:t>
            </w:r>
          </w:p>
          <w:p w14:paraId="78783D0A" w14:textId="77777777" w:rsidR="00CD5853" w:rsidRDefault="00CD5853" w:rsidP="00CD585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u w:val="single"/>
              </w:rPr>
              <w:t>Примечание 1: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 с 1 июля 2002 года там, где в обязательном порядке должны быть установлены две РЛС, одна должна быть X-диапазона (9 ГГц), а другая S-диапазона (3 ГГц), если только управляющая организация не заявит, что допустимы две РЛС X-диапазона.</w:t>
            </w:r>
          </w:p>
          <w:p w14:paraId="37CAA025" w14:textId="77777777" w:rsidR="00CD5853" w:rsidRDefault="00CD5853" w:rsidP="00CD585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u w:val="single"/>
              </w:rPr>
              <w:t>Примечание 2: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 с 1 июля 2002 года все новые сооружения должны соответствовать новым правилам перевозки. Данная вместимость судна не нуждается в изменении настроек РЛС, если только какая-либо часть существующих настроек РЛС не должна быть изменена или модифицирована, и в этом случае новые настройки должны быть расширены в соответствии с новыми правилами. В настоящее время нет срока действия, установленного для соблюдения всех существующих требований вместимости судна.</w:t>
            </w:r>
          </w:p>
          <w:p w14:paraId="736E7A7D" w14:textId="77777777" w:rsidR="00CD5853" w:rsidRDefault="00CD5853" w:rsidP="00CD585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u w:val="single"/>
              </w:rPr>
              <w:t>Примечание 3: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 САРП может быть установлена вместо САС или СЭП.</w:t>
            </w:r>
          </w:p>
          <w:p w14:paraId="02A16819" w14:textId="2B3F95BA" w:rsidR="00CD5853" w:rsidRDefault="00CD5853" w:rsidP="00470432">
            <w:pPr>
              <w:pStyle w:val="a4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u w:val="single"/>
              </w:rPr>
              <w:t>Примечание 4: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 САС может быть установлена вместо СЭП.</w:t>
            </w:r>
          </w:p>
        </w:tc>
      </w:tr>
      <w:tr w:rsidR="007F00BF" w14:paraId="6811C3BD" w14:textId="77777777" w:rsidTr="007F00BF">
        <w:tc>
          <w:tcPr>
            <w:tcW w:w="9345" w:type="dxa"/>
          </w:tcPr>
          <w:p w14:paraId="17A3390C" w14:textId="453D2F9D" w:rsidR="007F00BF" w:rsidRDefault="001C18CB" w:rsidP="001C18CB">
            <w:pPr>
              <w:shd w:val="clear" w:color="auto" w:fill="FFFFFF"/>
            </w:pPr>
            <w:r>
              <w:t>Примечания к таблице (</w:t>
            </w:r>
            <w:r w:rsidRPr="001C18CB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Действующие требования установки:</w:t>
            </w:r>
            <w:r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 xml:space="preserve"> </w:t>
            </w:r>
            <w:r w:rsidRPr="001C18CB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Высокоскоростные суда</w:t>
            </w:r>
            <w:r>
              <w:t>)</w:t>
            </w:r>
          </w:p>
          <w:p w14:paraId="79C4AF33" w14:textId="77777777" w:rsidR="001C18CB" w:rsidRDefault="001C18CB" w:rsidP="001C18C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u w:val="single"/>
              </w:rPr>
              <w:t>Примечание 1: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> если указаны две РЛС, то одна всегда должна быть X-диапазона, а другая — S-диапазона, если только управляющая организация не разрешит использовать вторую РЛС X-диапазона.</w:t>
            </w:r>
          </w:p>
          <w:p w14:paraId="34818681" w14:textId="5FEF1D4D" w:rsidR="001C18CB" w:rsidRDefault="001C18CB" w:rsidP="001C18CB">
            <w:pPr>
              <w:pStyle w:val="a4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u w:val="single"/>
              </w:rPr>
              <w:t>Примечание 2:</w:t>
            </w:r>
            <w:r>
              <w:rPr>
                <w:rFonts w:ascii="Arial" w:hAnsi="Arial" w:cs="Arial"/>
                <w:color w:val="3A3A3A"/>
                <w:sz w:val="21"/>
                <w:szCs w:val="21"/>
              </w:rPr>
              <w:t xml:space="preserve"> кодекс ВСС в том виде, в каком он существует и в который вносятся поправки, не содержит конкретной ссылки на суда свыше 10 000 </w:t>
            </w:r>
            <w:proofErr w:type="spellStart"/>
            <w:r>
              <w:rPr>
                <w:rFonts w:ascii="Arial" w:hAnsi="Arial" w:cs="Arial"/>
                <w:color w:val="3A3A3A"/>
                <w:sz w:val="21"/>
                <w:szCs w:val="21"/>
              </w:rPr>
              <w:t>рт</w:t>
            </w:r>
            <w:proofErr w:type="spellEnd"/>
            <w:r>
              <w:rPr>
                <w:rFonts w:ascii="Arial" w:hAnsi="Arial" w:cs="Arial"/>
                <w:color w:val="3A3A3A"/>
                <w:sz w:val="21"/>
                <w:szCs w:val="21"/>
              </w:rPr>
              <w:t>, но наша интерпретация основана на желании ИМО привести соответствующую часть кодекса ВСС (Глава 13) в соответствие с главой V пересмотренного издания СОЛАС.</w:t>
            </w:r>
          </w:p>
        </w:tc>
      </w:tr>
      <w:tr w:rsidR="007F00BF" w14:paraId="6AB78B52" w14:textId="77777777" w:rsidTr="007F00BF">
        <w:tc>
          <w:tcPr>
            <w:tcW w:w="9345" w:type="dxa"/>
          </w:tcPr>
          <w:p w14:paraId="13B108D4" w14:textId="699CAFBE" w:rsidR="00D271A8" w:rsidRPr="00D271A8" w:rsidRDefault="00D271A8" w:rsidP="00D271A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Изменения в эксплуатационных требованиях к радиолокационным установкам</w:t>
            </w:r>
          </w:p>
          <w:p w14:paraId="09AC666A" w14:textId="77777777" w:rsidR="00D271A8" w:rsidRPr="00D271A8" w:rsidRDefault="00D271A8" w:rsidP="00D271A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b/>
                <w:bCs/>
                <w:color w:val="3A3A3A"/>
                <w:sz w:val="21"/>
                <w:szCs w:val="21"/>
                <w:lang w:eastAsia="ru-RU"/>
              </w:rPr>
              <w:t>Действующие радиолокационные системы соответствуют нормам:</w:t>
            </w:r>
          </w:p>
          <w:p w14:paraId="35E1A93B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60936-1 Стандартные суда</w:t>
            </w:r>
          </w:p>
          <w:p w14:paraId="2D26032B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60936-2 Высокоскоростные суда</w:t>
            </w:r>
          </w:p>
          <w:p w14:paraId="26544E15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60936-3 Средства построения диаграмм на РЛС</w:t>
            </w:r>
          </w:p>
          <w:p w14:paraId="0B443DB8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PAS 60936-5 АИС</w:t>
            </w:r>
          </w:p>
          <w:p w14:paraId="54007743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60872-1 САРП</w:t>
            </w:r>
          </w:p>
          <w:p w14:paraId="30EC20C1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60872-2 САС</w:t>
            </w:r>
          </w:p>
          <w:p w14:paraId="6DB156AA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60872-3 СЭП</w:t>
            </w:r>
          </w:p>
          <w:p w14:paraId="0C8F2628" w14:textId="05B018BA" w:rsidR="007F00BF" w:rsidRDefault="00D271A8" w:rsidP="00D271A8">
            <w:pPr>
              <w:shd w:val="clear" w:color="auto" w:fill="FFFFFF"/>
              <w:ind w:left="720"/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lastRenderedPageBreak/>
              <w:t>— IEC 60945 — Основные требования</w:t>
            </w:r>
          </w:p>
        </w:tc>
      </w:tr>
      <w:tr w:rsidR="007F00BF" w14:paraId="306FFDF0" w14:textId="77777777" w:rsidTr="007F00BF">
        <w:tc>
          <w:tcPr>
            <w:tcW w:w="9345" w:type="dxa"/>
          </w:tcPr>
          <w:p w14:paraId="4B4EA77F" w14:textId="77777777" w:rsidR="00D271A8" w:rsidRPr="00D271A8" w:rsidRDefault="00D271A8" w:rsidP="00D271A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b/>
                <w:bCs/>
                <w:color w:val="3A3A3A"/>
                <w:sz w:val="21"/>
                <w:szCs w:val="21"/>
                <w:lang w:eastAsia="ru-RU"/>
              </w:rPr>
              <w:lastRenderedPageBreak/>
              <w:t>С июля 2008 года вышеуказанные стандарты заменяются следующими:</w:t>
            </w:r>
          </w:p>
          <w:p w14:paraId="237C9179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62388 — единые эксплуатационные требования к РЛС IEC 62388. Это изменение было внесено в ответ на резолюцию MSC.192(79 ИМО)</w:t>
            </w:r>
          </w:p>
          <w:p w14:paraId="7CE59CBB" w14:textId="77777777" w:rsidR="00D271A8" w:rsidRPr="00D271A8" w:rsidRDefault="00D271A8" w:rsidP="00D271A8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62288 — гармонизированная спецификация цветов и символов для РЛС и ЭКНИС</w:t>
            </w:r>
          </w:p>
          <w:p w14:paraId="1E68AADF" w14:textId="4FB156CF" w:rsidR="007F00BF" w:rsidRDefault="00D271A8" w:rsidP="00D271A8">
            <w:pPr>
              <w:shd w:val="clear" w:color="auto" w:fill="FFFFFF"/>
              <w:ind w:left="720"/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— IEC 60945 — климатические характеристики остаются неизменными</w:t>
            </w:r>
          </w:p>
        </w:tc>
      </w:tr>
      <w:tr w:rsidR="007F00BF" w14:paraId="2EC3A70D" w14:textId="77777777" w:rsidTr="007F00BF">
        <w:tc>
          <w:tcPr>
            <w:tcW w:w="9345" w:type="dxa"/>
          </w:tcPr>
          <w:p w14:paraId="0FCCCA40" w14:textId="77777777" w:rsidR="00D271A8" w:rsidRPr="00D271A8" w:rsidRDefault="00D271A8" w:rsidP="00D271A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Основные изменения в требованиях к радиолокационным установкам</w:t>
            </w:r>
          </w:p>
          <w:p w14:paraId="3E77A9CE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Определяет более подробно требования к обнаружению на большом расстоянии.</w:t>
            </w:r>
          </w:p>
          <w:p w14:paraId="0FBA124A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Будет включать в себя тесты для обнаружения небольших целей в море и помех от дождя (например, 4 мм и 16 мм дождя в час и состояния моря 2 и 5).</w:t>
            </w:r>
          </w:p>
          <w:p w14:paraId="705C5B2D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высокоскоростных судов разрешающая способность по пеленгу будет составлять 2,5°. (В настоящее время 4°)</w:t>
            </w:r>
          </w:p>
          <w:p w14:paraId="2222B354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СЭП, САС и САРП исчезают.</w:t>
            </w:r>
          </w:p>
          <w:p w14:paraId="2846593C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 более крупной РЛС минимальная окружность радиолокационного изображения уменьшается с 340 мм до 320 мм (250 и 180 остаются неизменными)</w:t>
            </w:r>
          </w:p>
          <w:p w14:paraId="2DDA23B9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Более жёсткие условия для САРП</w:t>
            </w:r>
          </w:p>
          <w:p w14:paraId="24992A47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Обязательное введение постоянной общей опорной точки (ПООТ)</w:t>
            </w:r>
          </w:p>
          <w:p w14:paraId="22F7B6DE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Сохранение направлений (или характерных точек) после изменения диапазона.</w:t>
            </w:r>
          </w:p>
          <w:p w14:paraId="142F2AA8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Больший акцент на документации по данным.</w:t>
            </w:r>
          </w:p>
          <w:p w14:paraId="708437DC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Цвета и символика, гармонизированные с ЭКНИС.</w:t>
            </w:r>
          </w:p>
          <w:p w14:paraId="1B5FE20B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Созданы новые типы РЛС CAT 3, CAT 2 и CAT 1.</w:t>
            </w:r>
          </w:p>
          <w:p w14:paraId="486F81DC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Возможность немедленного переключения между истинным и относительным направлениями.</w:t>
            </w:r>
          </w:p>
          <w:p w14:paraId="78D5A1CC" w14:textId="77777777" w:rsidR="00D271A8" w:rsidRPr="00D271A8" w:rsidRDefault="00D271A8" w:rsidP="00D271A8">
            <w:pPr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Сохранение направлений после смещения или сброса изображения.</w:t>
            </w:r>
          </w:p>
          <w:p w14:paraId="536D9A42" w14:textId="24882BF9" w:rsidR="007F00BF" w:rsidRDefault="00D271A8" w:rsidP="00D271A8">
            <w:pPr>
              <w:numPr>
                <w:ilvl w:val="0"/>
                <w:numId w:val="5"/>
              </w:numPr>
              <w:shd w:val="clear" w:color="auto" w:fill="FFFFFF"/>
            </w:pPr>
            <w:r w:rsidRPr="00D271A8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Объединение САРП и АИС.</w:t>
            </w:r>
          </w:p>
        </w:tc>
      </w:tr>
      <w:tr w:rsidR="007F00BF" w14:paraId="62077FC3" w14:textId="77777777" w:rsidTr="007F00BF">
        <w:tc>
          <w:tcPr>
            <w:tcW w:w="9345" w:type="dxa"/>
          </w:tcPr>
          <w:p w14:paraId="5858457D" w14:textId="77777777" w:rsidR="00401F99" w:rsidRPr="00401F99" w:rsidRDefault="00401F99" w:rsidP="00401F99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Область применения СОЛАС</w:t>
            </w:r>
          </w:p>
          <w:p w14:paraId="3B8AB858" w14:textId="77777777" w:rsidR="00401F99" w:rsidRPr="00401F99" w:rsidRDefault="00401F99" w:rsidP="00401F99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Расписание</w:t>
            </w:r>
          </w:p>
          <w:p w14:paraId="53CED97D" w14:textId="77777777" w:rsidR="00401F99" w:rsidRPr="00401F99" w:rsidRDefault="00401F99" w:rsidP="00401F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Принятие резолюции MSC.192(79) — принято</w:t>
            </w:r>
          </w:p>
          <w:p w14:paraId="417A823A" w14:textId="77777777" w:rsidR="00401F99" w:rsidRPr="00401F99" w:rsidRDefault="00401F99" w:rsidP="00401F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ОПМС (окончательный проект международного стандарта) доступен — выпущен 07 ноября</w:t>
            </w:r>
          </w:p>
          <w:p w14:paraId="13E2C18A" w14:textId="77777777" w:rsidR="00401F99" w:rsidRPr="00401F99" w:rsidRDefault="00401F99" w:rsidP="00401F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Официальное утверждение типа может начаться — 07 декабря</w:t>
            </w: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br/>
              <w:t>(NGSM приступили к утверждению типа и ожидают завершения работы над VMFT во втором квартале 2008 года)</w:t>
            </w:r>
          </w:p>
          <w:p w14:paraId="7D279622" w14:textId="77777777" w:rsidR="00401F99" w:rsidRPr="00401F99" w:rsidRDefault="00401F99" w:rsidP="00401F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Дата окончания действия для существующих радиолокационных установок — июль 2008 года</w:t>
            </w:r>
          </w:p>
          <w:p w14:paraId="72B78FBC" w14:textId="77777777" w:rsidR="00401F99" w:rsidRPr="00401F99" w:rsidRDefault="00401F99" w:rsidP="00401F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Новые установки должны соответствовать новому стандарту — июль 2008 года</w:t>
            </w:r>
          </w:p>
          <w:p w14:paraId="22EC65BB" w14:textId="590AF464" w:rsidR="007F00BF" w:rsidRDefault="00401F99" w:rsidP="00401F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СЭП, САС, САРП устарели — в июле 2008 года</w:t>
            </w:r>
          </w:p>
        </w:tc>
      </w:tr>
      <w:tr w:rsidR="007F00BF" w14:paraId="7CF18127" w14:textId="77777777" w:rsidTr="007F00BF">
        <w:tc>
          <w:tcPr>
            <w:tcW w:w="9345" w:type="dxa"/>
          </w:tcPr>
          <w:p w14:paraId="70C7854B" w14:textId="77777777" w:rsidR="00401F99" w:rsidRPr="00401F99" w:rsidRDefault="00401F99" w:rsidP="00401F99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РЕЗОЛЮЦИЯ ИМО MSC.192(79) (принята 6 декабря 2004 года)</w:t>
            </w:r>
          </w:p>
          <w:p w14:paraId="31517A72" w14:textId="77777777" w:rsidR="00401F99" w:rsidRPr="00401F99" w:rsidRDefault="00401F99" w:rsidP="00401F99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1. ПРИНИМАЕТ пересмотренную рекомендацию по эксплуатационным Требованиям к радиолокационному оборудованию, изложенным в Приложении к настоящей резолюции;</w:t>
            </w:r>
          </w:p>
          <w:p w14:paraId="54BD4AF5" w14:textId="6CFB8173" w:rsidR="007F00BF" w:rsidRDefault="00401F99" w:rsidP="00401F99">
            <w:pPr>
              <w:shd w:val="clear" w:color="auto" w:fill="FFFFFF"/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2. РЕКОМЕНДУЕТ Правительствам обеспечить, чтобы радиолокационное оборудование, установленное 1 июля 2008 года или после этой даты, соответствовало эксплуатационным Требованиям, не уступающим тем, которые изложены в Приложении к настоящей резолюции.</w:t>
            </w:r>
          </w:p>
        </w:tc>
      </w:tr>
      <w:tr w:rsidR="00401F99" w14:paraId="1A594011" w14:textId="77777777" w:rsidTr="007F00BF">
        <w:tc>
          <w:tcPr>
            <w:tcW w:w="9345" w:type="dxa"/>
          </w:tcPr>
          <w:p w14:paraId="4ED75BBC" w14:textId="77777777" w:rsidR="00401F99" w:rsidRPr="00401F99" w:rsidRDefault="00401F99" w:rsidP="00401F99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  <w:t>Директива по судовому оборудованию 2002/75/EC</w:t>
            </w:r>
          </w:p>
          <w:p w14:paraId="36E7237C" w14:textId="77777777" w:rsidR="00401F99" w:rsidRPr="00401F99" w:rsidRDefault="00401F99" w:rsidP="00401F99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01F99">
              <w:rPr>
                <w:rFonts w:ascii="Arial" w:eastAsia="Times New Roman" w:hAnsi="Arial" w:cs="Arial"/>
                <w:b/>
                <w:bCs/>
                <w:color w:val="3A3A3A"/>
                <w:sz w:val="20"/>
                <w:szCs w:val="20"/>
                <w:lang w:eastAsia="ru-RU"/>
              </w:rPr>
              <w:t>... о внесении поправок в директиву совета 96/98/EC о морском оборудовании</w:t>
            </w:r>
          </w:p>
          <w:p w14:paraId="604035B5" w14:textId="3B881B59" w:rsidR="00401F99" w:rsidRPr="00401F99" w:rsidRDefault="00401F99" w:rsidP="0054516E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u w:val="single"/>
                <w:lang w:eastAsia="ru-RU"/>
              </w:rPr>
            </w:pP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Оборудование, указанное в качестве "нового изделия" под заголовком "обозначение изделия" приложения А. 1, которое было изготовлено до даты, 3(1) в соответствии с процедурами официального утверждения типа, уже действовавшими до даты принятия настоящей директивы на территории государства-члена, упомянутого ниже, а также оборудование, перечисленное в разделах 4 и 5 приложения А. 1, имеющее маркировку и изготовленное до даты, указанной в статье 3(1), может быть размещено на рынке и на </w:t>
            </w:r>
            <w:r w:rsidRPr="00401F99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lastRenderedPageBreak/>
              <w:t>борту судна сообщества, сертификаты которого были выданы государством-членом или от его имени в соответствии с международными конвенциями, в течение двух лет после даты, указанной в статье 3(1).</w:t>
            </w:r>
          </w:p>
        </w:tc>
      </w:tr>
    </w:tbl>
    <w:p w14:paraId="5E354A98" w14:textId="7EC5CD2E" w:rsidR="007F00BF" w:rsidRDefault="007F00BF"/>
    <w:p w14:paraId="63B3850C" w14:textId="306F30B2" w:rsidR="007F00BF" w:rsidRPr="007F00BF" w:rsidRDefault="0054516E" w:rsidP="007F0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>Таблица 1 (</w:t>
      </w:r>
      <w:r w:rsidR="007F00BF" w:rsidRPr="007F00BF"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>Действующие требования установки:</w:t>
      </w:r>
      <w:r w:rsidR="007F00BF"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 xml:space="preserve"> </w:t>
      </w:r>
      <w:r w:rsidR="007F00BF" w:rsidRPr="007F00BF">
        <w:rPr>
          <w:rFonts w:ascii="Arial" w:eastAsia="Times New Roman" w:hAnsi="Arial" w:cs="Arial"/>
          <w:b/>
          <w:bCs/>
          <w:color w:val="3A3A3A"/>
          <w:sz w:val="27"/>
          <w:szCs w:val="27"/>
          <w:lang w:eastAsia="ru-RU"/>
        </w:rPr>
        <w:t>Требование к скоростным судам от 1 июля 2002 года</w:t>
      </w:r>
      <w:r>
        <w:rPr>
          <w:rFonts w:ascii="Arial" w:eastAsia="Times New Roman" w:hAnsi="Arial" w:cs="Arial"/>
          <w:b/>
          <w:bCs/>
          <w:color w:val="3A3A3A"/>
          <w:sz w:val="27"/>
          <w:szCs w:val="27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00BF" w14:paraId="76412833" w14:textId="77777777" w:rsidTr="00082058">
        <w:tc>
          <w:tcPr>
            <w:tcW w:w="9345" w:type="dxa"/>
            <w:gridSpan w:val="3"/>
          </w:tcPr>
          <w:p w14:paraId="275B57B9" w14:textId="79F18748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Требования установки РЛС (минимальные)</w:t>
            </w:r>
          </w:p>
        </w:tc>
      </w:tr>
      <w:tr w:rsidR="007F00BF" w14:paraId="47901BB7" w14:textId="77777777" w:rsidTr="00437369">
        <w:tc>
          <w:tcPr>
            <w:tcW w:w="9345" w:type="dxa"/>
            <w:gridSpan w:val="3"/>
          </w:tcPr>
          <w:p w14:paraId="14101206" w14:textId="2DFDDAF6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от 1 июля 2002 года (стандартные суда)</w:t>
            </w:r>
          </w:p>
        </w:tc>
      </w:tr>
      <w:tr w:rsidR="007F00BF" w14:paraId="55C3B59C" w14:textId="77777777" w:rsidTr="007F00BF">
        <w:tc>
          <w:tcPr>
            <w:tcW w:w="3115" w:type="dxa"/>
          </w:tcPr>
          <w:p w14:paraId="7E840368" w14:textId="503163EC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Категория</w:t>
            </w:r>
          </w:p>
        </w:tc>
        <w:tc>
          <w:tcPr>
            <w:tcW w:w="3115" w:type="dxa"/>
          </w:tcPr>
          <w:p w14:paraId="2983BB5F" w14:textId="5AE4990A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Пассажирский</w:t>
            </w:r>
          </w:p>
        </w:tc>
        <w:tc>
          <w:tcPr>
            <w:tcW w:w="3115" w:type="dxa"/>
          </w:tcPr>
          <w:p w14:paraId="3DB7F877" w14:textId="7A50856E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Товарный</w:t>
            </w:r>
          </w:p>
        </w:tc>
      </w:tr>
      <w:tr w:rsidR="007F00BF" w14:paraId="7D1E0D6A" w14:textId="77777777" w:rsidTr="007F00BF">
        <w:tc>
          <w:tcPr>
            <w:tcW w:w="3115" w:type="dxa"/>
          </w:tcPr>
          <w:p w14:paraId="501B0D58" w14:textId="6A5E4C85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от 0 до 300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3115" w:type="dxa"/>
          </w:tcPr>
          <w:p w14:paraId="38DBC37C" w14:textId="28B9233D" w:rsidR="007F00BF" w:rsidRDefault="007F00BF" w:rsidP="00885F59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1х180 СЭП</w:t>
            </w:r>
            <w:r w:rsidR="00885F59"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Х-диапазона</w:t>
            </w:r>
          </w:p>
        </w:tc>
        <w:tc>
          <w:tcPr>
            <w:tcW w:w="3115" w:type="dxa"/>
          </w:tcPr>
          <w:p w14:paraId="61E72FB5" w14:textId="4ED4BDB7" w:rsidR="007F00BF" w:rsidRDefault="009C05B6">
            <w:r>
              <w:t>-</w:t>
            </w:r>
          </w:p>
        </w:tc>
      </w:tr>
      <w:tr w:rsidR="007F00BF" w14:paraId="331D69BE" w14:textId="77777777" w:rsidTr="007F00BF">
        <w:tc>
          <w:tcPr>
            <w:tcW w:w="3115" w:type="dxa"/>
          </w:tcPr>
          <w:p w14:paraId="04F59379" w14:textId="66655269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от 300 до 500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3115" w:type="dxa"/>
          </w:tcPr>
          <w:p w14:paraId="5C273517" w14:textId="6C7FC4CB" w:rsidR="007F00BF" w:rsidRDefault="007F00BF" w:rsidP="00885F59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1х180 СЭП</w:t>
            </w:r>
            <w:r w:rsidR="00885F59"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Х-диапазона</w:t>
            </w:r>
          </w:p>
        </w:tc>
        <w:tc>
          <w:tcPr>
            <w:tcW w:w="3115" w:type="dxa"/>
          </w:tcPr>
          <w:p w14:paraId="672C8CAB" w14:textId="33A8A306" w:rsidR="007F00BF" w:rsidRDefault="007F00BF" w:rsidP="00885F59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1х180 СЭП</w:t>
            </w:r>
            <w:r w:rsidR="00885F59"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Х-диапазона</w:t>
            </w:r>
          </w:p>
        </w:tc>
      </w:tr>
      <w:tr w:rsidR="007F00BF" w14:paraId="487B8FF3" w14:textId="77777777" w:rsidTr="007F00BF">
        <w:tc>
          <w:tcPr>
            <w:tcW w:w="3115" w:type="dxa"/>
          </w:tcPr>
          <w:p w14:paraId="0A6E6DE7" w14:textId="07BBF38B" w:rsidR="007F00BF" w:rsidRDefault="007F00B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от 500 до 1000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3115" w:type="dxa"/>
          </w:tcPr>
          <w:p w14:paraId="497ADC28" w14:textId="2F735E5A" w:rsidR="007F00BF" w:rsidRDefault="007F00BF" w:rsidP="00885F59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1х180 САС</w:t>
            </w:r>
            <w:r w:rsidR="00885F59"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Х-диапазона</w:t>
            </w:r>
          </w:p>
        </w:tc>
        <w:tc>
          <w:tcPr>
            <w:tcW w:w="3115" w:type="dxa"/>
          </w:tcPr>
          <w:p w14:paraId="095CCEF0" w14:textId="25EF50A1" w:rsidR="007F00BF" w:rsidRDefault="007F00BF" w:rsidP="00885F59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1х180 САС</w:t>
            </w:r>
            <w:r w:rsidR="00885F59"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Х-диапазона</w:t>
            </w:r>
          </w:p>
        </w:tc>
      </w:tr>
      <w:tr w:rsidR="007F00BF" w14:paraId="18EB3536" w14:textId="77777777" w:rsidTr="007F00BF">
        <w:tc>
          <w:tcPr>
            <w:tcW w:w="3115" w:type="dxa"/>
          </w:tcPr>
          <w:p w14:paraId="583E3A34" w14:textId="0CFD4405" w:rsidR="007F00BF" w:rsidRDefault="007F00BF">
            <w:pP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от 1000 до 3000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3115" w:type="dxa"/>
          </w:tcPr>
          <w:p w14:paraId="664BCC4F" w14:textId="7C9FF3A0" w:rsidR="007F00BF" w:rsidRDefault="007F00BF" w:rsidP="00885F59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1х250 САС</w:t>
            </w:r>
            <w:r w:rsidR="00885F59"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Х-диапазона</w:t>
            </w:r>
          </w:p>
        </w:tc>
        <w:tc>
          <w:tcPr>
            <w:tcW w:w="3115" w:type="dxa"/>
          </w:tcPr>
          <w:p w14:paraId="04E9D05D" w14:textId="184CF036" w:rsidR="007F00BF" w:rsidRDefault="007F00BF" w:rsidP="00885F59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1х250 САС</w:t>
            </w:r>
            <w:r w:rsidR="00885F59"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Х-диапазона</w:t>
            </w:r>
          </w:p>
        </w:tc>
      </w:tr>
      <w:tr w:rsidR="007F00BF" w14:paraId="76249EE6" w14:textId="77777777" w:rsidTr="007F00BF">
        <w:tc>
          <w:tcPr>
            <w:tcW w:w="3115" w:type="dxa"/>
          </w:tcPr>
          <w:p w14:paraId="182EFCFE" w14:textId="5CA14C25" w:rsidR="007F00BF" w:rsidRDefault="007F00BF">
            <w:pP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от 3000 до 10000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3115" w:type="dxa"/>
          </w:tcPr>
          <w:p w14:paraId="5DAC6999" w14:textId="164EE8AD" w:rsidR="007F00BF" w:rsidRDefault="007F00BF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1х250 САС Х-диапазона + 1х250 САС S-диапазона</w:t>
            </w:r>
          </w:p>
        </w:tc>
        <w:tc>
          <w:tcPr>
            <w:tcW w:w="3115" w:type="dxa"/>
          </w:tcPr>
          <w:p w14:paraId="3A5BFDCE" w14:textId="6189983A" w:rsidR="007F00BF" w:rsidRDefault="007F00BF" w:rsidP="007F00BF">
            <w:pPr>
              <w:pStyle w:val="a4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1х250 САС Х-диапазона + 1х250 САС S-диапазона</w:t>
            </w:r>
          </w:p>
        </w:tc>
      </w:tr>
      <w:tr w:rsidR="007F00BF" w14:paraId="5A18EFDE" w14:textId="77777777" w:rsidTr="007F00BF">
        <w:tc>
          <w:tcPr>
            <w:tcW w:w="3115" w:type="dxa"/>
          </w:tcPr>
          <w:p w14:paraId="0E73110C" w14:textId="64683E6F" w:rsidR="007F00BF" w:rsidRDefault="007F00BF">
            <w:pP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более 10000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3115" w:type="dxa"/>
          </w:tcPr>
          <w:p w14:paraId="6F61BCB8" w14:textId="102BC980" w:rsidR="007F00BF" w:rsidRDefault="007F00BF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1х340 САС (X или S-диапазона) + 1х340 САРП (X или S-диапазона)</w:t>
            </w:r>
          </w:p>
        </w:tc>
        <w:tc>
          <w:tcPr>
            <w:tcW w:w="3115" w:type="dxa"/>
          </w:tcPr>
          <w:p w14:paraId="1391C400" w14:textId="610BFF2C" w:rsidR="007F00BF" w:rsidRDefault="007F00BF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1х340 САС (X или S-диапазона) + 1х340 САРП (X или S-диапазона)</w:t>
            </w:r>
          </w:p>
        </w:tc>
      </w:tr>
    </w:tbl>
    <w:p w14:paraId="3E899AC6" w14:textId="08DE8B04" w:rsidR="009D101F" w:rsidRPr="009D101F" w:rsidRDefault="00F741DA" w:rsidP="009D10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>Таблица 2 (</w:t>
      </w:r>
      <w:r w:rsidR="009D101F" w:rsidRPr="009D101F"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>Действующие требования установки:</w:t>
      </w:r>
      <w:r w:rsidR="009D101F"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 xml:space="preserve"> </w:t>
      </w:r>
      <w:r w:rsidR="009D101F" w:rsidRPr="009D101F"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>Высокоскоростные суда</w:t>
      </w:r>
      <w:r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01F" w14:paraId="6CD32186" w14:textId="77777777" w:rsidTr="00F74F7F">
        <w:tc>
          <w:tcPr>
            <w:tcW w:w="9345" w:type="dxa"/>
            <w:gridSpan w:val="4"/>
          </w:tcPr>
          <w:p w14:paraId="5A8CF656" w14:textId="1732D089" w:rsidR="009D101F" w:rsidRDefault="009D101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Требования установки РЛС (минимальные)</w:t>
            </w:r>
          </w:p>
        </w:tc>
      </w:tr>
      <w:tr w:rsidR="009D101F" w14:paraId="2296574B" w14:textId="77777777" w:rsidTr="00DC52EC">
        <w:tc>
          <w:tcPr>
            <w:tcW w:w="9345" w:type="dxa"/>
            <w:gridSpan w:val="4"/>
          </w:tcPr>
          <w:p w14:paraId="07BE1773" w14:textId="72CD6D0B" w:rsidR="009D101F" w:rsidRDefault="009D101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Текущая и будущая ситуация (высокоскоростное судно)</w:t>
            </w:r>
          </w:p>
        </w:tc>
      </w:tr>
      <w:tr w:rsidR="009D101F" w14:paraId="5DFC52CA" w14:textId="77777777" w:rsidTr="009D101F">
        <w:tc>
          <w:tcPr>
            <w:tcW w:w="2336" w:type="dxa"/>
          </w:tcPr>
          <w:p w14:paraId="7C9F9AC7" w14:textId="25A1398C" w:rsidR="009D101F" w:rsidRDefault="009D101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Тип судна</w:t>
            </w:r>
          </w:p>
        </w:tc>
        <w:tc>
          <w:tcPr>
            <w:tcW w:w="2336" w:type="dxa"/>
          </w:tcPr>
          <w:p w14:paraId="1201CFE3" w14:textId="46B2A43E" w:rsidR="009D101F" w:rsidRDefault="009D101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от 0 до 500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2336" w:type="dxa"/>
          </w:tcPr>
          <w:p w14:paraId="6A90FA39" w14:textId="30D17A2F" w:rsidR="009D101F" w:rsidRDefault="009D101F" w:rsidP="009D101F">
            <w:pPr>
              <w:pStyle w:val="a4"/>
            </w:pP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 xml:space="preserve">от 500 до 10000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рт</w:t>
            </w:r>
            <w:proofErr w:type="spellEnd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 xml:space="preserve"> или для </w:t>
            </w:r>
            <w:proofErr w:type="gram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перевозки &gt;</w:t>
            </w:r>
            <w:proofErr w:type="gramEnd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 xml:space="preserve"> 450 пассажиров</w:t>
            </w:r>
          </w:p>
        </w:tc>
        <w:tc>
          <w:tcPr>
            <w:tcW w:w="2337" w:type="dxa"/>
          </w:tcPr>
          <w:p w14:paraId="56DC56D7" w14:textId="13A243DA" w:rsidR="009D101F" w:rsidRDefault="009D101F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более 10000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</w:tr>
      <w:tr w:rsidR="009D101F" w14:paraId="32519E7D" w14:textId="77777777" w:rsidTr="009D101F">
        <w:tc>
          <w:tcPr>
            <w:tcW w:w="2336" w:type="dxa"/>
          </w:tcPr>
          <w:p w14:paraId="340103AC" w14:textId="62B511DB" w:rsidR="009D101F" w:rsidRDefault="009D101F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Пассажирский</w:t>
            </w:r>
          </w:p>
        </w:tc>
        <w:tc>
          <w:tcPr>
            <w:tcW w:w="2336" w:type="dxa"/>
          </w:tcPr>
          <w:p w14:paraId="25F6B3BB" w14:textId="3F3FDF55" w:rsidR="009D101F" w:rsidRDefault="009D101F" w:rsidP="009D101F">
            <w:pPr>
              <w:pStyle w:val="a4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 x цвет 250 САС или САРП X-диапазона</w:t>
            </w:r>
          </w:p>
        </w:tc>
        <w:tc>
          <w:tcPr>
            <w:tcW w:w="2336" w:type="dxa"/>
          </w:tcPr>
          <w:p w14:paraId="0459C309" w14:textId="50ED26A9" w:rsidR="009D101F" w:rsidRDefault="009D101F" w:rsidP="009D101F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2x 250 цветных дисплея.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По крайней мере один дисплей должен быть САС или САРП 1x X-диапазона и 1x S-диапазона</w:t>
            </w:r>
          </w:p>
        </w:tc>
        <w:tc>
          <w:tcPr>
            <w:tcW w:w="2337" w:type="dxa"/>
          </w:tcPr>
          <w:p w14:paraId="029BE94B" w14:textId="193F860F" w:rsidR="009D101F" w:rsidRDefault="009D101F" w:rsidP="009D101F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2x 340 цветных дисплея.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По крайней мере один дисплей должен быть САС или САРП 1x X-диапазона и 1x S-диапазона</w:t>
            </w:r>
          </w:p>
        </w:tc>
      </w:tr>
      <w:tr w:rsidR="009D101F" w14:paraId="26FE16C0" w14:textId="77777777" w:rsidTr="009D101F">
        <w:tc>
          <w:tcPr>
            <w:tcW w:w="2336" w:type="dxa"/>
          </w:tcPr>
          <w:p w14:paraId="0039FCC1" w14:textId="47164623" w:rsidR="009D101F" w:rsidRDefault="009D101F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Товарный</w:t>
            </w:r>
          </w:p>
        </w:tc>
        <w:tc>
          <w:tcPr>
            <w:tcW w:w="2336" w:type="dxa"/>
          </w:tcPr>
          <w:p w14:paraId="4BA22C57" w14:textId="45EBA2C9" w:rsidR="009D101F" w:rsidRDefault="009D101F" w:rsidP="009D101F">
            <w:pPr>
              <w:pStyle w:val="a4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1 x цвет 250 САС или САРП X-диапазона</w:t>
            </w:r>
          </w:p>
        </w:tc>
        <w:tc>
          <w:tcPr>
            <w:tcW w:w="2336" w:type="dxa"/>
          </w:tcPr>
          <w:p w14:paraId="278BD03D" w14:textId="17F9A059" w:rsidR="009D101F" w:rsidRDefault="009D101F" w:rsidP="009D101F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2x 250 цветных дисплея.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По крайней мере один дисплей должен быть САС или САРП 1x X-диапазона и 1x S-диапазона</w:t>
            </w:r>
          </w:p>
        </w:tc>
        <w:tc>
          <w:tcPr>
            <w:tcW w:w="2337" w:type="dxa"/>
          </w:tcPr>
          <w:p w14:paraId="39C072BA" w14:textId="65748D73" w:rsidR="009D101F" w:rsidRDefault="009D101F" w:rsidP="009D101F">
            <w:pPr>
              <w:pStyle w:val="a4"/>
              <w:shd w:val="clear" w:color="auto" w:fill="FFFFFF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2x 340 цветных дисплея.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По крайней мере один дисплей должен быть САС или САРП 1x X-диапазона и 1x S-диапазона</w:t>
            </w:r>
          </w:p>
        </w:tc>
      </w:tr>
    </w:tbl>
    <w:p w14:paraId="2C68A5AA" w14:textId="77777777" w:rsidR="00F741DA" w:rsidRDefault="00F741DA">
      <w:pPr>
        <w:rPr>
          <w:rFonts w:ascii="Arial" w:hAnsi="Arial" w:cs="Arial"/>
          <w:color w:val="3A3A3A"/>
          <w:sz w:val="20"/>
          <w:szCs w:val="20"/>
        </w:rPr>
      </w:pPr>
    </w:p>
    <w:p w14:paraId="0281CA24" w14:textId="6E2F827E" w:rsidR="00CD5853" w:rsidRDefault="00F741DA">
      <w:r>
        <w:rPr>
          <w:rFonts w:ascii="Arial" w:hAnsi="Arial" w:cs="Arial"/>
          <w:color w:val="3A3A3A"/>
          <w:sz w:val="20"/>
          <w:szCs w:val="20"/>
        </w:rPr>
        <w:t>Та</w:t>
      </w:r>
      <w:r>
        <w:rPr>
          <w:rFonts w:ascii="Arial" w:hAnsi="Arial" w:cs="Arial"/>
          <w:color w:val="3A3A3A"/>
          <w:sz w:val="20"/>
          <w:szCs w:val="20"/>
        </w:rPr>
        <w:t xml:space="preserve">блица </w:t>
      </w:r>
      <w:r>
        <w:rPr>
          <w:rFonts w:ascii="Arial" w:hAnsi="Arial" w:cs="Arial"/>
          <w:color w:val="3A3A3A"/>
          <w:sz w:val="20"/>
          <w:szCs w:val="20"/>
        </w:rPr>
        <w:t>3</w:t>
      </w:r>
      <w:r>
        <w:rPr>
          <w:rFonts w:ascii="Arial" w:hAnsi="Arial" w:cs="Arial"/>
          <w:color w:val="3A3A3A"/>
          <w:sz w:val="20"/>
          <w:szCs w:val="20"/>
        </w:rPr>
        <w:t xml:space="preserve"> </w:t>
      </w:r>
      <w:r>
        <w:rPr>
          <w:rFonts w:ascii="Arial" w:hAnsi="Arial" w:cs="Arial"/>
          <w:color w:val="3A3A3A"/>
          <w:sz w:val="20"/>
          <w:szCs w:val="20"/>
        </w:rPr>
        <w:t>(</w:t>
      </w:r>
      <w:r>
        <w:rPr>
          <w:rFonts w:ascii="Arial" w:hAnsi="Arial" w:cs="Arial"/>
          <w:color w:val="3A3A3A"/>
          <w:sz w:val="20"/>
          <w:szCs w:val="20"/>
        </w:rPr>
        <w:t>эксплуатационные требования для категорий кораблей/плавучих средств согласно СОЛАС V</w:t>
      </w:r>
      <w:r>
        <w:rPr>
          <w:rFonts w:ascii="Arial" w:hAnsi="Arial" w:cs="Arial"/>
          <w:color w:val="3A3A3A"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3"/>
        <w:gridCol w:w="1896"/>
        <w:gridCol w:w="1890"/>
        <w:gridCol w:w="1886"/>
      </w:tblGrid>
      <w:tr w:rsidR="00F741DA" w14:paraId="585B355B" w14:textId="77777777" w:rsidTr="009C4AF1">
        <w:tc>
          <w:tcPr>
            <w:tcW w:w="3673" w:type="dxa"/>
            <w:vMerge w:val="restart"/>
          </w:tcPr>
          <w:p w14:paraId="10C00327" w14:textId="77777777" w:rsidR="00F741DA" w:rsidRDefault="00F741DA"/>
        </w:tc>
        <w:tc>
          <w:tcPr>
            <w:tcW w:w="5672" w:type="dxa"/>
            <w:gridSpan w:val="3"/>
          </w:tcPr>
          <w:p w14:paraId="19A7E079" w14:textId="370258BA" w:rsidR="00F741DA" w:rsidRDefault="00F741DA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Категория корабля/плавучего средства</w:t>
            </w:r>
          </w:p>
        </w:tc>
      </w:tr>
      <w:tr w:rsidR="00F741DA" w14:paraId="5D15ADDC" w14:textId="77777777" w:rsidTr="009C4AF1">
        <w:tc>
          <w:tcPr>
            <w:tcW w:w="3673" w:type="dxa"/>
            <w:vMerge/>
          </w:tcPr>
          <w:p w14:paraId="3E1AD520" w14:textId="77777777" w:rsidR="00F741DA" w:rsidRDefault="00F741DA"/>
        </w:tc>
        <w:tc>
          <w:tcPr>
            <w:tcW w:w="1896" w:type="dxa"/>
          </w:tcPr>
          <w:p w14:paraId="266F0A23" w14:textId="5919CEAE" w:rsidR="00F741DA" w:rsidRDefault="00F741DA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CAT 3</w:t>
            </w:r>
          </w:p>
        </w:tc>
        <w:tc>
          <w:tcPr>
            <w:tcW w:w="1890" w:type="dxa"/>
          </w:tcPr>
          <w:p w14:paraId="0CE4AE92" w14:textId="537258D5" w:rsidR="00F741DA" w:rsidRDefault="00F741DA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CAT </w:t>
            </w: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886" w:type="dxa"/>
          </w:tcPr>
          <w:p w14:paraId="3C09BFF3" w14:textId="47F6127A" w:rsidR="00F741DA" w:rsidRDefault="00F741DA"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 xml:space="preserve">CAT </w:t>
            </w:r>
            <w:r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F741DA" w14:paraId="197EF91A" w14:textId="77777777" w:rsidTr="009C4AF1">
        <w:tc>
          <w:tcPr>
            <w:tcW w:w="3673" w:type="dxa"/>
          </w:tcPr>
          <w:p w14:paraId="23BBAFEF" w14:textId="6EF47BDD" w:rsidR="00F741DA" w:rsidRDefault="00F741DA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Размер корабля/плавучего средства</w:t>
            </w:r>
          </w:p>
        </w:tc>
        <w:tc>
          <w:tcPr>
            <w:tcW w:w="1896" w:type="dxa"/>
          </w:tcPr>
          <w:p w14:paraId="72592396" w14:textId="38C2C86E" w:rsidR="00F741DA" w:rsidRDefault="00B044B0">
            <w:proofErr w:type="gramStart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&lt; 500</w:t>
            </w:r>
            <w:proofErr w:type="gramEnd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1890" w:type="dxa"/>
          </w:tcPr>
          <w:p w14:paraId="60B7216F" w14:textId="3248BE5C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 xml:space="preserve">500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 xml:space="preserve"> до &lt;10000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 xml:space="preserve"> и ВСС </w:t>
            </w:r>
            <w:proofErr w:type="gramStart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&lt; 10000</w:t>
            </w:r>
            <w:proofErr w:type="gramEnd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  <w:tc>
          <w:tcPr>
            <w:tcW w:w="1886" w:type="dxa"/>
          </w:tcPr>
          <w:p w14:paraId="6C8A878C" w14:textId="428B1F95" w:rsidR="00F741DA" w:rsidRDefault="00B044B0">
            <w:r>
              <w:rPr>
                <w:rFonts w:ascii="Arial Unicode MS" w:hAnsi="Arial Unicode MS"/>
                <w:color w:val="3A3A3A"/>
                <w:sz w:val="20"/>
                <w:szCs w:val="20"/>
                <w:shd w:val="clear" w:color="auto" w:fill="FFFFFF"/>
              </w:rPr>
              <w:t xml:space="preserve">все корабли/плав. средства ≥10000 </w:t>
            </w:r>
            <w:proofErr w:type="spellStart"/>
            <w:r>
              <w:rPr>
                <w:rFonts w:ascii="Arial Unicode MS" w:hAnsi="Arial Unicode MS"/>
                <w:color w:val="3A3A3A"/>
                <w:sz w:val="20"/>
                <w:szCs w:val="20"/>
                <w:shd w:val="clear" w:color="auto" w:fill="FFFFFF"/>
              </w:rPr>
              <w:t>рт</w:t>
            </w:r>
            <w:proofErr w:type="spellEnd"/>
          </w:p>
        </w:tc>
      </w:tr>
      <w:tr w:rsidR="00F741DA" w14:paraId="0F71A9B1" w14:textId="77777777" w:rsidTr="009C4AF1">
        <w:tc>
          <w:tcPr>
            <w:tcW w:w="3673" w:type="dxa"/>
          </w:tcPr>
          <w:p w14:paraId="37271C02" w14:textId="4D9ECA61" w:rsidR="00F741DA" w:rsidRDefault="00F741DA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Минимальный эффективный диаметр экрана индикатора</w:t>
            </w:r>
          </w:p>
        </w:tc>
        <w:tc>
          <w:tcPr>
            <w:tcW w:w="1896" w:type="dxa"/>
          </w:tcPr>
          <w:p w14:paraId="726A5017" w14:textId="7F55B402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180 мм</w:t>
            </w:r>
          </w:p>
        </w:tc>
        <w:tc>
          <w:tcPr>
            <w:tcW w:w="1890" w:type="dxa"/>
          </w:tcPr>
          <w:p w14:paraId="738F7A9D" w14:textId="3E222EF4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250 мм</w:t>
            </w:r>
          </w:p>
        </w:tc>
        <w:tc>
          <w:tcPr>
            <w:tcW w:w="1886" w:type="dxa"/>
          </w:tcPr>
          <w:p w14:paraId="625FC767" w14:textId="1DD82585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320 мм</w:t>
            </w:r>
          </w:p>
        </w:tc>
      </w:tr>
      <w:tr w:rsidR="00F741DA" w14:paraId="7B7D6D58" w14:textId="77777777" w:rsidTr="009C4AF1">
        <w:tc>
          <w:tcPr>
            <w:tcW w:w="3673" w:type="dxa"/>
          </w:tcPr>
          <w:p w14:paraId="168794AA" w14:textId="770CFE3D" w:rsidR="00F741DA" w:rsidRDefault="00F741DA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Минимальная площадь экрана индикатора</w:t>
            </w:r>
          </w:p>
        </w:tc>
        <w:tc>
          <w:tcPr>
            <w:tcW w:w="1896" w:type="dxa"/>
          </w:tcPr>
          <w:p w14:paraId="6A5EFB6C" w14:textId="1792CFE2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195 мм х 195 мм</w:t>
            </w:r>
          </w:p>
        </w:tc>
        <w:tc>
          <w:tcPr>
            <w:tcW w:w="1890" w:type="dxa"/>
          </w:tcPr>
          <w:p w14:paraId="58E04AE1" w14:textId="554A2EB1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270 мм х 270 мм</w:t>
            </w:r>
          </w:p>
        </w:tc>
        <w:tc>
          <w:tcPr>
            <w:tcW w:w="1886" w:type="dxa"/>
          </w:tcPr>
          <w:p w14:paraId="2FA5821D" w14:textId="491D1942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340 мм х 340 мм</w:t>
            </w:r>
          </w:p>
        </w:tc>
      </w:tr>
      <w:tr w:rsidR="00F741DA" w14:paraId="05CD7FDF" w14:textId="77777777" w:rsidTr="009C4AF1">
        <w:tc>
          <w:tcPr>
            <w:tcW w:w="3673" w:type="dxa"/>
          </w:tcPr>
          <w:p w14:paraId="15D8CEDE" w14:textId="3D9D9836" w:rsidR="00F741DA" w:rsidRDefault="00F741DA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Автоматический захват целей на сопровождение</w:t>
            </w:r>
          </w:p>
        </w:tc>
        <w:tc>
          <w:tcPr>
            <w:tcW w:w="1896" w:type="dxa"/>
          </w:tcPr>
          <w:p w14:paraId="3984E4E7" w14:textId="50A5E65C" w:rsidR="00F741DA" w:rsidRDefault="00B044B0">
            <w:r>
              <w:t>-</w:t>
            </w:r>
          </w:p>
        </w:tc>
        <w:tc>
          <w:tcPr>
            <w:tcW w:w="1890" w:type="dxa"/>
          </w:tcPr>
          <w:p w14:paraId="3A4E4BFC" w14:textId="36BECC07" w:rsidR="00F741DA" w:rsidRDefault="00B044B0">
            <w:r>
              <w:t>-</w:t>
            </w:r>
          </w:p>
        </w:tc>
        <w:tc>
          <w:tcPr>
            <w:tcW w:w="1886" w:type="dxa"/>
          </w:tcPr>
          <w:p w14:paraId="68C5C2C2" w14:textId="7CA345DA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да</w:t>
            </w:r>
          </w:p>
        </w:tc>
      </w:tr>
      <w:tr w:rsidR="00F741DA" w14:paraId="1FEC4917" w14:textId="77777777" w:rsidTr="009C4AF1">
        <w:tc>
          <w:tcPr>
            <w:tcW w:w="3673" w:type="dxa"/>
          </w:tcPr>
          <w:p w14:paraId="37AF3700" w14:textId="3BA6843C" w:rsidR="00F741DA" w:rsidRDefault="00F741DA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Минимальное количество </w:t>
            </w:r>
            <w:r>
              <w:rPr>
                <w:rFonts w:ascii="Arial" w:hAnsi="Arial" w:cs="Arial"/>
                <w:color w:val="3A3A3A"/>
                <w:sz w:val="20"/>
                <w:szCs w:val="20"/>
                <w:u w:val="single"/>
                <w:shd w:val="clear" w:color="auto" w:fill="FFFFFF"/>
              </w:rPr>
              <w:t>сопровождаемых</w:t>
            </w: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 целей</w:t>
            </w:r>
          </w:p>
        </w:tc>
        <w:tc>
          <w:tcPr>
            <w:tcW w:w="1896" w:type="dxa"/>
          </w:tcPr>
          <w:p w14:paraId="57DDBC30" w14:textId="543BC0D9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20</w:t>
            </w:r>
          </w:p>
        </w:tc>
        <w:tc>
          <w:tcPr>
            <w:tcW w:w="1890" w:type="dxa"/>
          </w:tcPr>
          <w:p w14:paraId="70895853" w14:textId="77DF1F5F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30</w:t>
            </w:r>
          </w:p>
        </w:tc>
        <w:tc>
          <w:tcPr>
            <w:tcW w:w="1886" w:type="dxa"/>
          </w:tcPr>
          <w:p w14:paraId="600E4EA7" w14:textId="6C63FC34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40</w:t>
            </w:r>
          </w:p>
        </w:tc>
      </w:tr>
      <w:tr w:rsidR="00F741DA" w14:paraId="147EB428" w14:textId="77777777" w:rsidTr="009C4AF1">
        <w:tc>
          <w:tcPr>
            <w:tcW w:w="3673" w:type="dxa"/>
          </w:tcPr>
          <w:p w14:paraId="46BCCAD3" w14:textId="4696DD18" w:rsidR="00F741DA" w:rsidRDefault="00F741DA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Минимальное количество </w:t>
            </w:r>
            <w:r>
              <w:rPr>
                <w:rFonts w:ascii="Arial" w:hAnsi="Arial" w:cs="Arial"/>
                <w:color w:val="3A3A3A"/>
                <w:sz w:val="20"/>
                <w:szCs w:val="20"/>
                <w:u w:val="single"/>
                <w:shd w:val="clear" w:color="auto" w:fill="FFFFFF"/>
              </w:rPr>
              <w:t>активизированных</w:t>
            </w: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 целей АИС</w:t>
            </w:r>
          </w:p>
        </w:tc>
        <w:tc>
          <w:tcPr>
            <w:tcW w:w="1896" w:type="dxa"/>
          </w:tcPr>
          <w:p w14:paraId="53BDE7D4" w14:textId="2B47CBFD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20</w:t>
            </w:r>
          </w:p>
        </w:tc>
        <w:tc>
          <w:tcPr>
            <w:tcW w:w="1890" w:type="dxa"/>
          </w:tcPr>
          <w:p w14:paraId="37738E6D" w14:textId="1AB456D0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30</w:t>
            </w:r>
          </w:p>
        </w:tc>
        <w:tc>
          <w:tcPr>
            <w:tcW w:w="1886" w:type="dxa"/>
          </w:tcPr>
          <w:p w14:paraId="672BC057" w14:textId="65CBB4C0" w:rsidR="00F741DA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40</w:t>
            </w:r>
          </w:p>
        </w:tc>
      </w:tr>
      <w:tr w:rsidR="009C4AF1" w14:paraId="51FF573D" w14:textId="77777777" w:rsidTr="009C4AF1">
        <w:tc>
          <w:tcPr>
            <w:tcW w:w="3673" w:type="dxa"/>
          </w:tcPr>
          <w:p w14:paraId="42A7414E" w14:textId="0DC45CF6" w:rsidR="009C4AF1" w:rsidRDefault="009C4AF1">
            <w:pP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lastRenderedPageBreak/>
              <w:t>Минимальное количество </w:t>
            </w:r>
            <w:r>
              <w:rPr>
                <w:rFonts w:ascii="Arial" w:hAnsi="Arial" w:cs="Arial"/>
                <w:color w:val="3A3A3A"/>
                <w:sz w:val="20"/>
                <w:szCs w:val="20"/>
                <w:u w:val="single"/>
                <w:shd w:val="clear" w:color="auto" w:fill="FFFFFF"/>
              </w:rPr>
              <w:t>пассивных</w:t>
            </w: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 целей АИС</w:t>
            </w:r>
          </w:p>
        </w:tc>
        <w:tc>
          <w:tcPr>
            <w:tcW w:w="1896" w:type="dxa"/>
          </w:tcPr>
          <w:p w14:paraId="25811B43" w14:textId="077AC610" w:rsidR="009C4AF1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100</w:t>
            </w:r>
          </w:p>
        </w:tc>
        <w:tc>
          <w:tcPr>
            <w:tcW w:w="1890" w:type="dxa"/>
          </w:tcPr>
          <w:p w14:paraId="64FFAF95" w14:textId="568AE70A" w:rsidR="009C4AF1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86" w:type="dxa"/>
          </w:tcPr>
          <w:p w14:paraId="3FFFC397" w14:textId="20617977" w:rsidR="009C4AF1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00</w:t>
            </w:r>
          </w:p>
        </w:tc>
      </w:tr>
      <w:tr w:rsidR="009C4AF1" w14:paraId="06434D9C" w14:textId="77777777" w:rsidTr="009C4AF1">
        <w:tc>
          <w:tcPr>
            <w:tcW w:w="3673" w:type="dxa"/>
          </w:tcPr>
          <w:p w14:paraId="6D44A5DE" w14:textId="113CBBB9" w:rsidR="009C4AF1" w:rsidRDefault="009C4AF1">
            <w:pP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Проигрывание манёвра</w:t>
            </w:r>
          </w:p>
        </w:tc>
        <w:tc>
          <w:tcPr>
            <w:tcW w:w="1896" w:type="dxa"/>
          </w:tcPr>
          <w:p w14:paraId="7D9C2E0E" w14:textId="0C37F7A4" w:rsidR="009C4AF1" w:rsidRDefault="00B044B0">
            <w:r>
              <w:t>-</w:t>
            </w:r>
          </w:p>
        </w:tc>
        <w:tc>
          <w:tcPr>
            <w:tcW w:w="1890" w:type="dxa"/>
          </w:tcPr>
          <w:p w14:paraId="6B9FCB64" w14:textId="5A240E44" w:rsidR="009C4AF1" w:rsidRDefault="00B044B0">
            <w:r>
              <w:t>-</w:t>
            </w:r>
          </w:p>
        </w:tc>
        <w:tc>
          <w:tcPr>
            <w:tcW w:w="1886" w:type="dxa"/>
          </w:tcPr>
          <w:p w14:paraId="6C4AA25A" w14:textId="37D89E26" w:rsidR="009C4AF1" w:rsidRDefault="00B044B0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да</w:t>
            </w:r>
          </w:p>
        </w:tc>
      </w:tr>
      <w:tr w:rsidR="009C4AF1" w14:paraId="66751776" w14:textId="77777777" w:rsidTr="003B21E9">
        <w:tc>
          <w:tcPr>
            <w:tcW w:w="9345" w:type="dxa"/>
            <w:gridSpan w:val="4"/>
          </w:tcPr>
          <w:p w14:paraId="6E6CFEBA" w14:textId="74F996CF" w:rsidR="009C4AF1" w:rsidRDefault="009C4AF1"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Примечание: скорость обработки информации АИС должна соответствовать требованиям пункта 10.5.2.</w:t>
            </w:r>
          </w:p>
        </w:tc>
      </w:tr>
    </w:tbl>
    <w:p w14:paraId="206B29F8" w14:textId="77777777" w:rsidR="00CD5853" w:rsidRDefault="00CD5853"/>
    <w:p w14:paraId="6F76E5B7" w14:textId="3362D866" w:rsidR="007F00BF" w:rsidRPr="006F26F8" w:rsidRDefault="006F26F8">
      <w:pPr>
        <w:rPr>
          <w:lang w:val="en-US"/>
        </w:rPr>
      </w:pPr>
      <w:r>
        <w:rPr>
          <w:lang w:val="en-US"/>
        </w:rPr>
        <w:t>z</w:t>
      </w:r>
      <w:bookmarkStart w:id="0" w:name="_GoBack"/>
      <w:bookmarkEnd w:id="0"/>
    </w:p>
    <w:sectPr w:rsidR="007F00BF" w:rsidRPr="006F2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778"/>
    <w:multiLevelType w:val="multilevel"/>
    <w:tmpl w:val="36D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83B9A"/>
    <w:multiLevelType w:val="multilevel"/>
    <w:tmpl w:val="743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1320A"/>
    <w:multiLevelType w:val="multilevel"/>
    <w:tmpl w:val="D28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51D68"/>
    <w:multiLevelType w:val="multilevel"/>
    <w:tmpl w:val="98F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46963"/>
    <w:multiLevelType w:val="multilevel"/>
    <w:tmpl w:val="857E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86641"/>
    <w:multiLevelType w:val="multilevel"/>
    <w:tmpl w:val="452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DB"/>
    <w:rsid w:val="001C18CB"/>
    <w:rsid w:val="00401F99"/>
    <w:rsid w:val="00470432"/>
    <w:rsid w:val="0054459E"/>
    <w:rsid w:val="0054516E"/>
    <w:rsid w:val="006F26F8"/>
    <w:rsid w:val="007F00BF"/>
    <w:rsid w:val="00885F59"/>
    <w:rsid w:val="009C05B6"/>
    <w:rsid w:val="009C4AF1"/>
    <w:rsid w:val="009D101F"/>
    <w:rsid w:val="00B044B0"/>
    <w:rsid w:val="00CD5853"/>
    <w:rsid w:val="00D271A8"/>
    <w:rsid w:val="00E443DB"/>
    <w:rsid w:val="00EB4690"/>
    <w:rsid w:val="00F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6429"/>
  <w15:chartTrackingRefBased/>
  <w15:docId w15:val="{0DFCA8FC-8E91-473A-A1E2-6FCB9033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0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F00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7F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7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2025-04-22T10:34:00Z</dcterms:created>
  <dcterms:modified xsi:type="dcterms:W3CDTF">2025-04-22T10:59:00Z</dcterms:modified>
</cp:coreProperties>
</file>