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la lettera comparsa è uguale alla precedente, allora il paziente dovrà prendere un tasto verde sullo schermo (oppure premere la freccia verso destra); diversamente, se la parola comparsa è diversa rispetto alla precedente, il paziente dovrà premere il tasto rosso sullo schermo (oppure premere la freccia verso sinistra.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A B K W F P L L M A N N S W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4800" cy="3048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4800" cy="3048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8450" cy="29845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hpIezGLP6RuY8jmW6lwzCpOm8Q==">AMUW2mVpTlNHfxuip++UiNWimJDYIN0BB7xagFSemSvwo4347CpQ40lpdQDMJwNk9v6ud+yC2YOPy/FJqXI4XGStZLaDhcv1VYaEdxKLYssv/KXI2v+8yos=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2020-11-11T22:03:00Z</dcterms:created>
  <dc:creator>ANDREA D'IPPOLITO</dc:creator>
</cp:coreProperties>
</file>