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One Milestone Three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Fluegge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Open file "course_data.txt" for reading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IF file NOT open THEN: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OUTPUT "File cannot be opened"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EXIT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FOR line IN file: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courseData = Split(line, “,”)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IF courseData.Size() is LESS THAN 2 THEN: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"Invalid line format"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CONTINUE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number = courseData[0]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title = courseData[1]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prereq = courseData[2:]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FOR p IN prereq: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IF p NOT IN courseNumbers THEN: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OUTPUT “Prerequisite course not found"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CONTINUE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END IF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FUNCTION Course():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Number = 0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Title = “”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Prereq = {}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Course()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FUNCTION Insert(root, course)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IF root is EQUAL TO nullptr THEN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ab/>
        <w:t xml:space="preserve">Root = course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</w:t>
        <w:tab/>
        <w:t xml:space="preserve"> </w:t>
        <w:tab/>
        <w:t xml:space="preserve">RETURN course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IF course.number is LESS THAN root.course.number THEN: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   </w:t>
        <w:tab/>
        <w:t xml:space="preserve"> root.left = Insert(root.left, course)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root.right = Insert(root.right, course)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RETURN root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Insert(root, course)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root = nullptr</w:t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FOR line IN file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C = new Course()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root = Insert(root, C)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FUNCTION Print(node)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IF node is NOT EQUAL TO nullptr THEN: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Print(node.left)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"Number: " + node.course.number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"Course Title: " + node.course.title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"Prerequisites: " + join(node.course.prereq, ", ")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Print(node.right)</w:t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Print(node)</w:t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