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B8" w:rsidRPr="006C58AB" w:rsidRDefault="00C75BB8" w:rsidP="006C58AB">
      <w:pPr>
        <w:pStyle w:val="ModulovuotoA"/>
        <w:jc w:val="center"/>
        <w:rPr>
          <w:rFonts w:ascii="Arial" w:hAnsi="Arial" w:cs="Arial"/>
          <w:b/>
          <w:sz w:val="28"/>
          <w:szCs w:val="28"/>
        </w:rPr>
      </w:pPr>
      <w:r w:rsidRPr="006C58AB">
        <w:rPr>
          <w:rFonts w:ascii="Arial" w:hAnsi="Arial" w:cs="Arial"/>
          <w:b/>
          <w:sz w:val="28"/>
          <w:szCs w:val="28"/>
        </w:rPr>
        <w:t xml:space="preserve">Seminar on </w:t>
      </w:r>
      <w:r>
        <w:rPr>
          <w:rFonts w:ascii="Arial" w:hAnsi="Arial" w:cs="Arial"/>
          <w:b/>
          <w:sz w:val="28"/>
          <w:szCs w:val="28"/>
        </w:rPr>
        <w:t xml:space="preserve">International </w:t>
      </w:r>
      <w:r w:rsidRPr="006C58AB">
        <w:rPr>
          <w:rFonts w:ascii="Arial" w:hAnsi="Arial" w:cs="Arial"/>
          <w:b/>
          <w:sz w:val="28"/>
          <w:szCs w:val="28"/>
        </w:rPr>
        <w:t>Climate Finance</w:t>
      </w:r>
    </w:p>
    <w:p w:rsidR="00C75BB8" w:rsidRPr="0052187A" w:rsidRDefault="00C75BB8" w:rsidP="0052187A">
      <w:pPr>
        <w:pStyle w:val="ModulovuotoA"/>
        <w:jc w:val="center"/>
        <w:rPr>
          <w:rFonts w:ascii="Arial Bold" w:hAnsi="Arial Bold"/>
        </w:rPr>
      </w:pPr>
      <w:r w:rsidRPr="0052187A">
        <w:rPr>
          <w:rFonts w:ascii="Arial Bold" w:hAnsi="Arial Bold"/>
        </w:rPr>
        <w:t xml:space="preserve"> </w:t>
      </w:r>
    </w:p>
    <w:p w:rsidR="00C75BB8" w:rsidRDefault="00C75BB8" w:rsidP="0052187A">
      <w:pPr>
        <w:pStyle w:val="ModulovuotoA"/>
        <w:jc w:val="center"/>
        <w:rPr>
          <w:rFonts w:ascii="Arial" w:hAnsi="Arial" w:cs="Arial"/>
        </w:rPr>
      </w:pPr>
      <w:r w:rsidRPr="0003328C">
        <w:rPr>
          <w:rFonts w:ascii="Arial" w:hAnsi="Arial" w:cs="Arial"/>
        </w:rPr>
        <w:t>19 April 2012</w:t>
      </w:r>
      <w:r w:rsidR="00686591">
        <w:rPr>
          <w:rFonts w:ascii="Arial" w:hAnsi="Arial" w:cs="Arial"/>
        </w:rPr>
        <w:t>: p</w:t>
      </w:r>
      <w:bookmarkStart w:id="0" w:name="_GoBack"/>
      <w:bookmarkEnd w:id="0"/>
      <w:r w:rsidRPr="0003328C">
        <w:rPr>
          <w:rFonts w:ascii="Arial" w:hAnsi="Arial" w:cs="Arial"/>
        </w:rPr>
        <w:t>rogramme</w:t>
      </w:r>
    </w:p>
    <w:p w:rsidR="00C75BB8" w:rsidRPr="00606968" w:rsidRDefault="00C75BB8">
      <w:pPr>
        <w:pStyle w:val="ModulovuotoA"/>
        <w:rPr>
          <w:rFonts w:ascii="Calibri" w:hAnsi="Calibri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7897"/>
      </w:tblGrid>
      <w:tr w:rsidR="00C75BB8" w:rsidRPr="00606968" w:rsidTr="00F406AA">
        <w:tc>
          <w:tcPr>
            <w:tcW w:w="1951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From 8:30</w:t>
            </w:r>
          </w:p>
        </w:tc>
        <w:tc>
          <w:tcPr>
            <w:tcW w:w="7897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Registration and Coffee</w:t>
            </w:r>
          </w:p>
        </w:tc>
      </w:tr>
      <w:tr w:rsidR="00C75BB8" w:rsidRPr="00606968" w:rsidTr="00F406AA">
        <w:tc>
          <w:tcPr>
            <w:tcW w:w="1951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9:00 - 9:15</w:t>
            </w:r>
          </w:p>
        </w:tc>
        <w:tc>
          <w:tcPr>
            <w:tcW w:w="7897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b/>
                <w:szCs w:val="24"/>
              </w:rPr>
              <w:t>Welcome</w:t>
            </w:r>
            <w:r w:rsidRPr="00F406AA">
              <w:rPr>
                <w:rFonts w:ascii="Calibri" w:hAnsi="Calibri"/>
                <w:szCs w:val="24"/>
              </w:rPr>
              <w:t xml:space="preserve"> </w:t>
            </w:r>
          </w:p>
        </w:tc>
      </w:tr>
      <w:tr w:rsidR="00C75BB8" w:rsidRPr="00606968" w:rsidTr="00F406AA">
        <w:tc>
          <w:tcPr>
            <w:tcW w:w="1951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9:15 – 10:30</w:t>
            </w:r>
          </w:p>
        </w:tc>
        <w:tc>
          <w:tcPr>
            <w:tcW w:w="7897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i/>
                <w:szCs w:val="24"/>
              </w:rPr>
              <w:t>Presentations:</w:t>
            </w:r>
            <w:r w:rsidRPr="00F406AA">
              <w:rPr>
                <w:rFonts w:ascii="Calibri" w:hAnsi="Calibri"/>
                <w:b/>
                <w:szCs w:val="24"/>
              </w:rPr>
              <w:t xml:space="preserve">  Financing needs</w:t>
            </w:r>
            <w:r w:rsidRPr="00F406AA">
              <w:rPr>
                <w:rFonts w:ascii="Calibri" w:hAnsi="Calibri"/>
                <w:szCs w:val="24"/>
              </w:rPr>
              <w:t xml:space="preserve"> (Chair:  Richard Green, Imperial College)</w:t>
            </w:r>
          </w:p>
          <w:p w:rsidR="00C75BB8" w:rsidRPr="00F406AA" w:rsidRDefault="00C75BB8" w:rsidP="00567869">
            <w:pPr>
              <w:pStyle w:val="ModulovuotoA"/>
              <w:numPr>
                <w:ilvl w:val="0"/>
                <w:numId w:val="1"/>
              </w:numPr>
              <w:spacing w:before="20" w:afterLines="20" w:after="48"/>
              <w:ind w:left="714" w:hanging="357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Erik Haites (Magree): Future funding needs: mitigation</w:t>
            </w:r>
          </w:p>
          <w:p w:rsidR="00C75BB8" w:rsidRPr="00F406AA" w:rsidRDefault="00C75BB8" w:rsidP="00567869">
            <w:pPr>
              <w:pStyle w:val="ModulovuotoA"/>
              <w:numPr>
                <w:ilvl w:val="0"/>
                <w:numId w:val="1"/>
              </w:numPr>
              <w:spacing w:before="20" w:afterLines="20" w:after="48"/>
              <w:ind w:left="714" w:hanging="357"/>
              <w:rPr>
                <w:rFonts w:ascii="Calibri" w:hAnsi="Calibri"/>
                <w:i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Paul Watkiss (SEI): Future funding needs: adaptation</w:t>
            </w:r>
          </w:p>
          <w:p w:rsidR="00C75BB8" w:rsidRPr="00F406AA" w:rsidRDefault="00C75BB8" w:rsidP="00567869">
            <w:pPr>
              <w:pStyle w:val="ModulovuotoA"/>
              <w:numPr>
                <w:ilvl w:val="0"/>
                <w:numId w:val="1"/>
              </w:numPr>
              <w:spacing w:before="20" w:afterLines="20" w:after="48"/>
              <w:ind w:left="714" w:hanging="357"/>
              <w:rPr>
                <w:rFonts w:ascii="Calibri" w:hAnsi="Calibri"/>
                <w:i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Morgan Hervé-Mignucci (CPI Venice): Current funding</w:t>
            </w:r>
          </w:p>
        </w:tc>
      </w:tr>
      <w:tr w:rsidR="00C75BB8" w:rsidRPr="00606968" w:rsidTr="00F406AA">
        <w:tc>
          <w:tcPr>
            <w:tcW w:w="1951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10:30 – 11:00</w:t>
            </w:r>
          </w:p>
        </w:tc>
        <w:tc>
          <w:tcPr>
            <w:tcW w:w="7897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Break</w:t>
            </w:r>
          </w:p>
        </w:tc>
      </w:tr>
      <w:tr w:rsidR="00C75BB8" w:rsidRPr="00606968" w:rsidTr="00F406AA">
        <w:tc>
          <w:tcPr>
            <w:tcW w:w="1951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11:00 – 12:15</w:t>
            </w:r>
          </w:p>
        </w:tc>
        <w:tc>
          <w:tcPr>
            <w:tcW w:w="7897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i/>
                <w:szCs w:val="24"/>
              </w:rPr>
              <w:t xml:space="preserve">Panel:  </w:t>
            </w:r>
            <w:r w:rsidRPr="00F406AA">
              <w:rPr>
                <w:rFonts w:ascii="Calibri" w:hAnsi="Calibri"/>
                <w:szCs w:val="24"/>
              </w:rPr>
              <w:t xml:space="preserve"> </w:t>
            </w:r>
            <w:r w:rsidRPr="00F406AA">
              <w:rPr>
                <w:rFonts w:ascii="Calibri" w:hAnsi="Calibri"/>
                <w:b/>
                <w:szCs w:val="24"/>
              </w:rPr>
              <w:t xml:space="preserve">Governance </w:t>
            </w:r>
            <w:r w:rsidRPr="00F406AA">
              <w:rPr>
                <w:rFonts w:ascii="Calibri" w:hAnsi="Calibri"/>
                <w:szCs w:val="24"/>
              </w:rPr>
              <w:t>(Chair: Cameron Hepburn, LSE)</w:t>
            </w:r>
          </w:p>
          <w:p w:rsidR="00C75BB8" w:rsidRPr="00F406AA" w:rsidRDefault="00C75BB8" w:rsidP="00567869">
            <w:pPr>
              <w:pStyle w:val="ModulovuotoA"/>
              <w:numPr>
                <w:ilvl w:val="0"/>
                <w:numId w:val="2"/>
              </w:numPr>
              <w:spacing w:before="20" w:afterLines="20" w:after="48"/>
              <w:ind w:left="714" w:hanging="357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 xml:space="preserve">Su-Lin Garbett-Shiels (DFID) </w:t>
            </w:r>
          </w:p>
          <w:p w:rsidR="00C75BB8" w:rsidRPr="00F406AA" w:rsidRDefault="00C75BB8" w:rsidP="00567869">
            <w:pPr>
              <w:pStyle w:val="ModulovuotoA"/>
              <w:numPr>
                <w:ilvl w:val="0"/>
                <w:numId w:val="2"/>
              </w:numPr>
              <w:spacing w:before="20" w:afterLines="20" w:after="48"/>
              <w:ind w:left="714" w:hanging="357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Richard Gledhill (PwC)</w:t>
            </w:r>
          </w:p>
          <w:p w:rsidR="00C75BB8" w:rsidRPr="00F406AA" w:rsidRDefault="00C75BB8" w:rsidP="00567869">
            <w:pPr>
              <w:pStyle w:val="ModulovuotoA"/>
              <w:numPr>
                <w:ilvl w:val="0"/>
                <w:numId w:val="2"/>
              </w:numPr>
              <w:spacing w:before="20" w:afterLines="20" w:after="48"/>
              <w:ind w:left="714" w:hanging="357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Preety Bandari (UNFCCC)</w:t>
            </w:r>
          </w:p>
          <w:p w:rsidR="00C75BB8" w:rsidRPr="00F406AA" w:rsidRDefault="00C75BB8" w:rsidP="00567869">
            <w:pPr>
              <w:pStyle w:val="ModulovuotoA"/>
              <w:numPr>
                <w:ilvl w:val="0"/>
                <w:numId w:val="2"/>
              </w:numPr>
              <w:spacing w:before="20" w:afterLines="20" w:after="48"/>
              <w:ind w:left="714" w:hanging="357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Sam Fankhauser (LSE)</w:t>
            </w:r>
          </w:p>
        </w:tc>
      </w:tr>
      <w:tr w:rsidR="00C75BB8" w:rsidRPr="00606968" w:rsidTr="00F406AA">
        <w:tc>
          <w:tcPr>
            <w:tcW w:w="1951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12:15 – 1:00</w:t>
            </w:r>
          </w:p>
        </w:tc>
        <w:tc>
          <w:tcPr>
            <w:tcW w:w="7897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i/>
                <w:szCs w:val="24"/>
              </w:rPr>
              <w:t xml:space="preserve">Keynote address </w:t>
            </w:r>
            <w:r w:rsidRPr="00F406AA">
              <w:rPr>
                <w:rFonts w:ascii="Calibri" w:hAnsi="Calibri"/>
                <w:szCs w:val="24"/>
              </w:rPr>
              <w:t xml:space="preserve">  </w:t>
            </w:r>
          </w:p>
          <w:p w:rsidR="00C75BB8" w:rsidRPr="00F406AA" w:rsidRDefault="00C75BB8" w:rsidP="00F406AA">
            <w:pPr>
              <w:pStyle w:val="ModulovuotoA"/>
              <w:numPr>
                <w:ilvl w:val="0"/>
                <w:numId w:val="3"/>
              </w:numPr>
              <w:spacing w:before="60" w:after="60"/>
              <w:rPr>
                <w:rFonts w:ascii="Calibri" w:hAnsi="Calibri"/>
                <w:i/>
                <w:szCs w:val="24"/>
              </w:rPr>
            </w:pPr>
            <w:r w:rsidRPr="00F406AA">
              <w:rPr>
                <w:rFonts w:ascii="Calibri" w:hAnsi="Calibri"/>
                <w:b/>
                <w:szCs w:val="24"/>
              </w:rPr>
              <w:t xml:space="preserve">Andrew Steer, </w:t>
            </w:r>
            <w:r w:rsidRPr="00F406AA">
              <w:rPr>
                <w:rFonts w:ascii="Calibri" w:hAnsi="Calibri"/>
                <w:szCs w:val="24"/>
              </w:rPr>
              <w:t>Special Envoy on Climate Change, The World Bank</w:t>
            </w:r>
            <w:r w:rsidRPr="00F406AA">
              <w:rPr>
                <w:rFonts w:ascii="Calibri" w:hAnsi="Calibri"/>
                <w:b/>
                <w:szCs w:val="24"/>
              </w:rPr>
              <w:t xml:space="preserve">  </w:t>
            </w:r>
          </w:p>
        </w:tc>
      </w:tr>
      <w:tr w:rsidR="00C75BB8" w:rsidRPr="00606968" w:rsidTr="00F406AA">
        <w:tc>
          <w:tcPr>
            <w:tcW w:w="1951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1:00 – 2:00</w:t>
            </w:r>
          </w:p>
        </w:tc>
        <w:tc>
          <w:tcPr>
            <w:tcW w:w="7897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Lunch</w:t>
            </w:r>
          </w:p>
        </w:tc>
      </w:tr>
      <w:tr w:rsidR="00C75BB8" w:rsidRPr="00606968" w:rsidTr="00F406AA">
        <w:tc>
          <w:tcPr>
            <w:tcW w:w="1951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2:00 – 3:15</w:t>
            </w:r>
          </w:p>
        </w:tc>
        <w:tc>
          <w:tcPr>
            <w:tcW w:w="7897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i/>
                <w:szCs w:val="24"/>
              </w:rPr>
              <w:t>Presentations:</w:t>
            </w:r>
            <w:r w:rsidRPr="00F406AA">
              <w:rPr>
                <w:rFonts w:ascii="Calibri" w:hAnsi="Calibri"/>
                <w:b/>
                <w:szCs w:val="24"/>
              </w:rPr>
              <w:t xml:space="preserve">  Sources of finance</w:t>
            </w:r>
            <w:r w:rsidRPr="00F406AA">
              <w:rPr>
                <w:rFonts w:ascii="Calibri" w:hAnsi="Calibri"/>
                <w:szCs w:val="24"/>
              </w:rPr>
              <w:t xml:space="preserve"> (Chair:  Erik Haites)</w:t>
            </w:r>
          </w:p>
          <w:p w:rsidR="00C75BB8" w:rsidRPr="00F406AA" w:rsidRDefault="00C75BB8" w:rsidP="00F406AA">
            <w:pPr>
              <w:pStyle w:val="ModulovuotoA"/>
              <w:numPr>
                <w:ilvl w:val="0"/>
                <w:numId w:val="1"/>
              </w:numPr>
              <w:spacing w:before="20" w:after="20"/>
              <w:ind w:left="714" w:hanging="357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Mattia Romani (GGGI/LSE):  A review of potential sources</w:t>
            </w:r>
          </w:p>
          <w:p w:rsidR="00C75BB8" w:rsidRPr="00F406AA" w:rsidRDefault="00C75BB8" w:rsidP="00F406AA">
            <w:pPr>
              <w:pStyle w:val="ModulovuotoA"/>
              <w:numPr>
                <w:ilvl w:val="0"/>
                <w:numId w:val="1"/>
              </w:numPr>
              <w:spacing w:before="20" w:after="20"/>
              <w:ind w:left="714" w:hanging="357"/>
              <w:rPr>
                <w:rFonts w:ascii="Calibri" w:hAnsi="Calibri"/>
                <w:i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Alex Bowen (LSE): Economic principles of climate finance</w:t>
            </w:r>
          </w:p>
          <w:p w:rsidR="00C75BB8" w:rsidRPr="00F406AA" w:rsidRDefault="00C75BB8" w:rsidP="00F406AA">
            <w:pPr>
              <w:pStyle w:val="ModulovuotoA"/>
              <w:numPr>
                <w:ilvl w:val="0"/>
                <w:numId w:val="1"/>
              </w:numPr>
              <w:spacing w:before="20" w:after="20"/>
              <w:ind w:left="714" w:hanging="357"/>
              <w:rPr>
                <w:rFonts w:ascii="Calibri" w:hAnsi="Calibri"/>
                <w:i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Smita Nak</w:t>
            </w:r>
            <w:r>
              <w:rPr>
                <w:rFonts w:ascii="Calibri" w:hAnsi="Calibri"/>
                <w:szCs w:val="24"/>
              </w:rPr>
              <w:t>h</w:t>
            </w:r>
            <w:r w:rsidRPr="00F406AA">
              <w:rPr>
                <w:rFonts w:ascii="Calibri" w:hAnsi="Calibri"/>
                <w:szCs w:val="24"/>
              </w:rPr>
              <w:t>ooda (ODI):  Lessons from current financial flows</w:t>
            </w:r>
          </w:p>
        </w:tc>
      </w:tr>
      <w:tr w:rsidR="00C75BB8" w:rsidRPr="00606968" w:rsidTr="00F406AA">
        <w:tc>
          <w:tcPr>
            <w:tcW w:w="1951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3:15 – 3:45</w:t>
            </w:r>
          </w:p>
        </w:tc>
        <w:tc>
          <w:tcPr>
            <w:tcW w:w="7897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Break</w:t>
            </w:r>
          </w:p>
        </w:tc>
      </w:tr>
      <w:tr w:rsidR="00C75BB8" w:rsidRPr="00606968" w:rsidTr="00F406AA">
        <w:tc>
          <w:tcPr>
            <w:tcW w:w="1951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3:45 – 5:00</w:t>
            </w:r>
          </w:p>
        </w:tc>
        <w:tc>
          <w:tcPr>
            <w:tcW w:w="7897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i/>
                <w:szCs w:val="24"/>
              </w:rPr>
              <w:t xml:space="preserve">Panel </w:t>
            </w:r>
            <w:r w:rsidRPr="00F406AA">
              <w:rPr>
                <w:rFonts w:ascii="Calibri" w:hAnsi="Calibri"/>
                <w:szCs w:val="24"/>
              </w:rPr>
              <w:t>(organised by ClimateBonds)</w:t>
            </w:r>
            <w:r w:rsidRPr="00F406AA">
              <w:rPr>
                <w:rFonts w:ascii="Calibri" w:hAnsi="Calibri"/>
                <w:i/>
                <w:szCs w:val="24"/>
              </w:rPr>
              <w:t xml:space="preserve">:  </w:t>
            </w:r>
            <w:r w:rsidRPr="00F406AA">
              <w:rPr>
                <w:rFonts w:ascii="Calibri" w:hAnsi="Calibri"/>
                <w:szCs w:val="24"/>
              </w:rPr>
              <w:t xml:space="preserve"> </w:t>
            </w:r>
            <w:r w:rsidRPr="00F406AA">
              <w:rPr>
                <w:rFonts w:ascii="Calibri" w:hAnsi="Calibri"/>
                <w:b/>
                <w:szCs w:val="24"/>
              </w:rPr>
              <w:t xml:space="preserve">Private finance </w:t>
            </w:r>
            <w:r w:rsidRPr="00F406AA">
              <w:rPr>
                <w:rFonts w:ascii="Calibri" w:hAnsi="Calibri"/>
                <w:szCs w:val="24"/>
              </w:rPr>
              <w:t>(Chair: Nick Silver)</w:t>
            </w:r>
          </w:p>
          <w:p w:rsidR="00C75BB8" w:rsidRPr="00F406AA" w:rsidRDefault="00C75BB8" w:rsidP="00F406AA">
            <w:pPr>
              <w:pStyle w:val="ModulovuotoA"/>
              <w:numPr>
                <w:ilvl w:val="0"/>
                <w:numId w:val="2"/>
              </w:numPr>
              <w:spacing w:before="20" w:after="20"/>
              <w:ind w:left="714" w:hanging="357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Adam McDonald (Lloyds Bank)</w:t>
            </w:r>
          </w:p>
          <w:p w:rsidR="00C75BB8" w:rsidRPr="00F406AA" w:rsidRDefault="00C75BB8" w:rsidP="00F406AA">
            <w:pPr>
              <w:pStyle w:val="ModulovuotoA"/>
              <w:numPr>
                <w:ilvl w:val="0"/>
                <w:numId w:val="2"/>
              </w:numPr>
              <w:spacing w:before="20" w:after="20"/>
              <w:ind w:left="714" w:hanging="357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Terry McCallion (EBRD)</w:t>
            </w:r>
          </w:p>
          <w:p w:rsidR="00C75BB8" w:rsidRPr="00F406AA" w:rsidRDefault="00C75BB8" w:rsidP="00F406AA">
            <w:pPr>
              <w:pStyle w:val="ModulovuotoA"/>
              <w:numPr>
                <w:ilvl w:val="0"/>
                <w:numId w:val="2"/>
              </w:numPr>
              <w:spacing w:before="20" w:after="20"/>
              <w:ind w:left="714" w:hanging="357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Jochen Harnish (KfW)</w:t>
            </w:r>
          </w:p>
          <w:p w:rsidR="00C75BB8" w:rsidRPr="00B5220D" w:rsidRDefault="00C75BB8" w:rsidP="00F406AA">
            <w:pPr>
              <w:pStyle w:val="ModulovuotoA"/>
              <w:numPr>
                <w:ilvl w:val="0"/>
                <w:numId w:val="2"/>
              </w:numPr>
              <w:spacing w:before="20" w:after="20"/>
              <w:ind w:left="714" w:hanging="357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 xml:space="preserve">Ben Caldecott (Climate Change Capital) </w:t>
            </w:r>
            <w:r w:rsidRPr="00F406AA">
              <w:rPr>
                <w:rFonts w:ascii="Calibri" w:hAnsi="Calibri"/>
                <w:i/>
                <w:color w:val="FF0000"/>
                <w:szCs w:val="24"/>
              </w:rPr>
              <w:t xml:space="preserve"> </w:t>
            </w:r>
          </w:p>
          <w:p w:rsidR="00C75BB8" w:rsidRPr="00B5220D" w:rsidRDefault="00C75BB8" w:rsidP="00F406AA">
            <w:pPr>
              <w:pStyle w:val="ModulovuotoA"/>
              <w:numPr>
                <w:ilvl w:val="0"/>
                <w:numId w:val="2"/>
              </w:numPr>
              <w:spacing w:before="20" w:after="20"/>
              <w:ind w:left="714" w:hanging="357"/>
              <w:rPr>
                <w:rFonts w:ascii="Calibri" w:hAnsi="Calibri"/>
                <w:color w:val="auto"/>
                <w:szCs w:val="24"/>
              </w:rPr>
            </w:pPr>
            <w:r w:rsidRPr="00B5220D">
              <w:rPr>
                <w:rFonts w:ascii="Calibri" w:hAnsi="Calibri"/>
                <w:color w:val="auto"/>
                <w:szCs w:val="24"/>
              </w:rPr>
              <w:t>Vicki Bakhshi (F&amp;C)</w:t>
            </w:r>
          </w:p>
        </w:tc>
      </w:tr>
      <w:tr w:rsidR="00C75BB8" w:rsidRPr="00606968" w:rsidTr="00F406AA">
        <w:tc>
          <w:tcPr>
            <w:tcW w:w="1951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5:00 – 5:45</w:t>
            </w:r>
          </w:p>
        </w:tc>
        <w:tc>
          <w:tcPr>
            <w:tcW w:w="7897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i/>
                <w:szCs w:val="24"/>
              </w:rPr>
              <w:t xml:space="preserve">Keynote address: </w:t>
            </w:r>
            <w:r w:rsidRPr="00F406AA">
              <w:rPr>
                <w:rFonts w:ascii="Calibri" w:hAnsi="Calibri"/>
                <w:szCs w:val="24"/>
              </w:rPr>
              <w:t xml:space="preserve">  </w:t>
            </w:r>
          </w:p>
          <w:p w:rsidR="00C75BB8" w:rsidRPr="00F406AA" w:rsidRDefault="00C75BB8" w:rsidP="00F406AA">
            <w:pPr>
              <w:pStyle w:val="ModulovuotoA"/>
              <w:numPr>
                <w:ilvl w:val="0"/>
                <w:numId w:val="2"/>
              </w:numPr>
              <w:spacing w:before="60" w:after="60"/>
              <w:rPr>
                <w:rFonts w:ascii="Calibri" w:hAnsi="Calibri"/>
                <w:b/>
                <w:szCs w:val="24"/>
              </w:rPr>
            </w:pPr>
            <w:r w:rsidRPr="00F406AA">
              <w:rPr>
                <w:rFonts w:ascii="Calibri" w:hAnsi="Calibri"/>
                <w:b/>
                <w:szCs w:val="24"/>
              </w:rPr>
              <w:t xml:space="preserve">Nick Stern, </w:t>
            </w:r>
            <w:r w:rsidRPr="00F406AA">
              <w:rPr>
                <w:rFonts w:ascii="Calibri" w:hAnsi="Calibri"/>
                <w:szCs w:val="24"/>
              </w:rPr>
              <w:t>Chairman Grantham Research Institute, LSE</w:t>
            </w:r>
            <w:r w:rsidRPr="00F406AA">
              <w:rPr>
                <w:rFonts w:ascii="Calibri" w:hAnsi="Calibri"/>
                <w:szCs w:val="24"/>
              </w:rPr>
              <w:tab/>
            </w:r>
            <w:r w:rsidRPr="00F406AA">
              <w:rPr>
                <w:rFonts w:ascii="Calibri" w:hAnsi="Calibri"/>
                <w:szCs w:val="24"/>
              </w:rPr>
              <w:tab/>
            </w:r>
          </w:p>
        </w:tc>
      </w:tr>
      <w:tr w:rsidR="00C75BB8" w:rsidRPr="00606968" w:rsidTr="00F406AA">
        <w:tc>
          <w:tcPr>
            <w:tcW w:w="1951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5:45</w:t>
            </w:r>
          </w:p>
        </w:tc>
        <w:tc>
          <w:tcPr>
            <w:tcW w:w="7897" w:type="dxa"/>
          </w:tcPr>
          <w:p w:rsidR="00C75BB8" w:rsidRPr="00F406AA" w:rsidRDefault="00C75BB8" w:rsidP="00F406AA">
            <w:pPr>
              <w:pStyle w:val="ModulovuotoA"/>
              <w:spacing w:before="60" w:after="60"/>
              <w:rPr>
                <w:rFonts w:ascii="Calibri" w:hAnsi="Calibri"/>
                <w:szCs w:val="24"/>
              </w:rPr>
            </w:pPr>
            <w:r w:rsidRPr="00F406AA">
              <w:rPr>
                <w:rFonts w:ascii="Calibri" w:hAnsi="Calibri"/>
                <w:szCs w:val="24"/>
              </w:rPr>
              <w:t>Closing remarks and drinks reception</w:t>
            </w:r>
          </w:p>
        </w:tc>
      </w:tr>
    </w:tbl>
    <w:p w:rsidR="00C75BB8" w:rsidRDefault="00C75BB8" w:rsidP="00686591">
      <w:pPr>
        <w:pStyle w:val="ModulovuotoA"/>
      </w:pPr>
    </w:p>
    <w:sectPr w:rsidR="00C75BB8" w:rsidSect="003502C2">
      <w:headerReference w:type="default" r:id="rId8"/>
      <w:footerReference w:type="even" r:id="rId9"/>
      <w:footerReference w:type="default" r:id="rId10"/>
      <w:pgSz w:w="11900" w:h="16840"/>
      <w:pgMar w:top="567" w:right="1134" w:bottom="567" w:left="1134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BB8" w:rsidRDefault="00C75BB8">
      <w:r>
        <w:separator/>
      </w:r>
    </w:p>
  </w:endnote>
  <w:endnote w:type="continuationSeparator" w:id="0">
    <w:p w:rsidR="00C75BB8" w:rsidRDefault="00C7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BB8" w:rsidRDefault="00C75BB8">
    <w:pPr>
      <w:pStyle w:val="IntestazioneepidipaginaA"/>
      <w:tabs>
        <w:tab w:val="clear" w:pos="9632"/>
        <w:tab w:val="right" w:pos="9612"/>
      </w:tabs>
      <w:rPr>
        <w:rFonts w:ascii="Times New Roman" w:hAnsi="Times New Roman"/>
        <w:color w:val="auto"/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BB8" w:rsidRDefault="00567869" w:rsidP="000D71D4">
    <w:pPr>
      <w:pStyle w:val="IntestazioneepidipaginaA"/>
      <w:tabs>
        <w:tab w:val="clear" w:pos="9632"/>
        <w:tab w:val="right" w:pos="9612"/>
      </w:tabs>
      <w:jc w:val="center"/>
      <w:rPr>
        <w:rFonts w:ascii="Times New Roman" w:hAnsi="Times New Roman"/>
        <w:color w:val="auto"/>
        <w:lang w:val="en-GB"/>
      </w:rPr>
    </w:pPr>
    <w:r>
      <w:rPr>
        <w:rFonts w:ascii="Times New Roman" w:hAnsi="Times New Roman"/>
        <w:noProof/>
        <w:color w:val="auto"/>
        <w:lang w:val="en-GB"/>
      </w:rPr>
      <w:drawing>
        <wp:inline distT="0" distB="0" distL="0" distR="0">
          <wp:extent cx="5514975" cy="771525"/>
          <wp:effectExtent l="0" t="0" r="9525" b="9525"/>
          <wp:docPr id="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497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BB8" w:rsidRDefault="00C75BB8">
      <w:r>
        <w:separator/>
      </w:r>
    </w:p>
  </w:footnote>
  <w:footnote w:type="continuationSeparator" w:id="0">
    <w:p w:rsidR="00C75BB8" w:rsidRDefault="00C75B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BB8" w:rsidRDefault="00567869" w:rsidP="005E1E92">
    <w:pPr>
      <w:pStyle w:val="Modulovuoto"/>
      <w:jc w:val="center"/>
      <w:rPr>
        <w:color w:val="auto"/>
      </w:rPr>
    </w:pPr>
    <w:r>
      <w:rPr>
        <w:noProof/>
      </w:rPr>
      <w:drawing>
        <wp:inline distT="0" distB="0" distL="0" distR="0">
          <wp:extent cx="5457825" cy="6858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578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5BB8" w:rsidRDefault="00C75BB8">
    <w:pPr>
      <w:pStyle w:val="Modulovuoto"/>
      <w:rPr>
        <w:color w:val="auto"/>
      </w:rPr>
    </w:pPr>
    <w:r>
      <w:rPr>
        <w:color w:val="auto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18F5"/>
    <w:multiLevelType w:val="hybridMultilevel"/>
    <w:tmpl w:val="355EA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73D6B"/>
    <w:multiLevelType w:val="hybridMultilevel"/>
    <w:tmpl w:val="C4C41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43382"/>
    <w:multiLevelType w:val="hybridMultilevel"/>
    <w:tmpl w:val="6F70A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C11"/>
    <w:rsid w:val="0003328C"/>
    <w:rsid w:val="00050C77"/>
    <w:rsid w:val="00065591"/>
    <w:rsid w:val="000701BC"/>
    <w:rsid w:val="00076634"/>
    <w:rsid w:val="000808C2"/>
    <w:rsid w:val="0009653F"/>
    <w:rsid w:val="000A0FF6"/>
    <w:rsid w:val="000A23B1"/>
    <w:rsid w:val="000B1761"/>
    <w:rsid w:val="000B3633"/>
    <w:rsid w:val="000B6485"/>
    <w:rsid w:val="000C022A"/>
    <w:rsid w:val="000D71D4"/>
    <w:rsid w:val="000E560B"/>
    <w:rsid w:val="0010052B"/>
    <w:rsid w:val="00115289"/>
    <w:rsid w:val="0012694F"/>
    <w:rsid w:val="0017769A"/>
    <w:rsid w:val="00182166"/>
    <w:rsid w:val="00197229"/>
    <w:rsid w:val="001D4C60"/>
    <w:rsid w:val="001D78DD"/>
    <w:rsid w:val="001F3E17"/>
    <w:rsid w:val="00203572"/>
    <w:rsid w:val="00205A35"/>
    <w:rsid w:val="00224A35"/>
    <w:rsid w:val="002344F5"/>
    <w:rsid w:val="00247A7F"/>
    <w:rsid w:val="00252DE7"/>
    <w:rsid w:val="002562AB"/>
    <w:rsid w:val="0026387D"/>
    <w:rsid w:val="002C26E4"/>
    <w:rsid w:val="002E69A6"/>
    <w:rsid w:val="0030489C"/>
    <w:rsid w:val="003458BD"/>
    <w:rsid w:val="003459DD"/>
    <w:rsid w:val="00346DF1"/>
    <w:rsid w:val="003502C2"/>
    <w:rsid w:val="00362AED"/>
    <w:rsid w:val="00373E7E"/>
    <w:rsid w:val="00384B5E"/>
    <w:rsid w:val="003B5A25"/>
    <w:rsid w:val="003C656B"/>
    <w:rsid w:val="003E5A5B"/>
    <w:rsid w:val="003F4953"/>
    <w:rsid w:val="0040499E"/>
    <w:rsid w:val="00411C17"/>
    <w:rsid w:val="0041626E"/>
    <w:rsid w:val="004251AA"/>
    <w:rsid w:val="0045327B"/>
    <w:rsid w:val="00453C2D"/>
    <w:rsid w:val="00460DF9"/>
    <w:rsid w:val="00474C11"/>
    <w:rsid w:val="004B083A"/>
    <w:rsid w:val="004B34CC"/>
    <w:rsid w:val="004C01D7"/>
    <w:rsid w:val="004C122D"/>
    <w:rsid w:val="004C2296"/>
    <w:rsid w:val="004D4C06"/>
    <w:rsid w:val="004E0BC7"/>
    <w:rsid w:val="00506DC6"/>
    <w:rsid w:val="00507CC9"/>
    <w:rsid w:val="005179AB"/>
    <w:rsid w:val="0052187A"/>
    <w:rsid w:val="00543643"/>
    <w:rsid w:val="00561010"/>
    <w:rsid w:val="00567869"/>
    <w:rsid w:val="00567D62"/>
    <w:rsid w:val="0057043F"/>
    <w:rsid w:val="005953B1"/>
    <w:rsid w:val="005B1100"/>
    <w:rsid w:val="005B7BBE"/>
    <w:rsid w:val="005C3925"/>
    <w:rsid w:val="005C7C45"/>
    <w:rsid w:val="005D069C"/>
    <w:rsid w:val="005E1E92"/>
    <w:rsid w:val="005F1BEF"/>
    <w:rsid w:val="00606968"/>
    <w:rsid w:val="00620A16"/>
    <w:rsid w:val="006271C5"/>
    <w:rsid w:val="00645B45"/>
    <w:rsid w:val="006512CF"/>
    <w:rsid w:val="0066688D"/>
    <w:rsid w:val="00673607"/>
    <w:rsid w:val="006768C9"/>
    <w:rsid w:val="00686591"/>
    <w:rsid w:val="00690BFF"/>
    <w:rsid w:val="006A7A61"/>
    <w:rsid w:val="006C54B3"/>
    <w:rsid w:val="006C58AB"/>
    <w:rsid w:val="006D06FB"/>
    <w:rsid w:val="007213FA"/>
    <w:rsid w:val="00783048"/>
    <w:rsid w:val="007868ED"/>
    <w:rsid w:val="00786E74"/>
    <w:rsid w:val="007906E0"/>
    <w:rsid w:val="00791562"/>
    <w:rsid w:val="00796F2F"/>
    <w:rsid w:val="007C6CA7"/>
    <w:rsid w:val="007D5169"/>
    <w:rsid w:val="007E6980"/>
    <w:rsid w:val="00811AE6"/>
    <w:rsid w:val="00826144"/>
    <w:rsid w:val="008454FD"/>
    <w:rsid w:val="0087014B"/>
    <w:rsid w:val="008705F3"/>
    <w:rsid w:val="00893889"/>
    <w:rsid w:val="008A622B"/>
    <w:rsid w:val="008B5310"/>
    <w:rsid w:val="008D3A65"/>
    <w:rsid w:val="008D5F51"/>
    <w:rsid w:val="009102FB"/>
    <w:rsid w:val="00912F0B"/>
    <w:rsid w:val="009231F9"/>
    <w:rsid w:val="009429D5"/>
    <w:rsid w:val="009436E1"/>
    <w:rsid w:val="00972EFB"/>
    <w:rsid w:val="00981ABD"/>
    <w:rsid w:val="009B011D"/>
    <w:rsid w:val="009C1393"/>
    <w:rsid w:val="009C1CA9"/>
    <w:rsid w:val="009D49C2"/>
    <w:rsid w:val="00A11611"/>
    <w:rsid w:val="00A3188E"/>
    <w:rsid w:val="00A45DFD"/>
    <w:rsid w:val="00A474EC"/>
    <w:rsid w:val="00A7580F"/>
    <w:rsid w:val="00A760D0"/>
    <w:rsid w:val="00AB00AB"/>
    <w:rsid w:val="00AB7311"/>
    <w:rsid w:val="00AC2547"/>
    <w:rsid w:val="00AC58AD"/>
    <w:rsid w:val="00AD301E"/>
    <w:rsid w:val="00AE5C79"/>
    <w:rsid w:val="00AE6844"/>
    <w:rsid w:val="00B00212"/>
    <w:rsid w:val="00B016A6"/>
    <w:rsid w:val="00B100BE"/>
    <w:rsid w:val="00B236E0"/>
    <w:rsid w:val="00B5220D"/>
    <w:rsid w:val="00B61EB8"/>
    <w:rsid w:val="00BA3F7C"/>
    <w:rsid w:val="00BD5402"/>
    <w:rsid w:val="00BE240E"/>
    <w:rsid w:val="00C01535"/>
    <w:rsid w:val="00C02955"/>
    <w:rsid w:val="00C15DE7"/>
    <w:rsid w:val="00C47B5A"/>
    <w:rsid w:val="00C60A2D"/>
    <w:rsid w:val="00C627BC"/>
    <w:rsid w:val="00C63A95"/>
    <w:rsid w:val="00C73252"/>
    <w:rsid w:val="00C75BB8"/>
    <w:rsid w:val="00CA0004"/>
    <w:rsid w:val="00CA21BB"/>
    <w:rsid w:val="00CA5ECB"/>
    <w:rsid w:val="00CB14DF"/>
    <w:rsid w:val="00CC5321"/>
    <w:rsid w:val="00CC6C4D"/>
    <w:rsid w:val="00CE7CF8"/>
    <w:rsid w:val="00D030BF"/>
    <w:rsid w:val="00D30BCB"/>
    <w:rsid w:val="00D63B0F"/>
    <w:rsid w:val="00D8602A"/>
    <w:rsid w:val="00D921A4"/>
    <w:rsid w:val="00DE317B"/>
    <w:rsid w:val="00E00726"/>
    <w:rsid w:val="00E22395"/>
    <w:rsid w:val="00E24CE3"/>
    <w:rsid w:val="00E57F24"/>
    <w:rsid w:val="00E641D1"/>
    <w:rsid w:val="00E74F8A"/>
    <w:rsid w:val="00E83B81"/>
    <w:rsid w:val="00E90D55"/>
    <w:rsid w:val="00ED1414"/>
    <w:rsid w:val="00EF38D9"/>
    <w:rsid w:val="00F11713"/>
    <w:rsid w:val="00F14819"/>
    <w:rsid w:val="00F22014"/>
    <w:rsid w:val="00F406AA"/>
    <w:rsid w:val="00F43B1C"/>
    <w:rsid w:val="00F61CFB"/>
    <w:rsid w:val="00F7769E"/>
    <w:rsid w:val="00F77895"/>
    <w:rsid w:val="00F83DF0"/>
    <w:rsid w:val="00FC03E5"/>
    <w:rsid w:val="00FD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2694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dulovuoto">
    <w:name w:val="Modulo vuoto"/>
    <w:autoRedefine/>
    <w:uiPriority w:val="99"/>
    <w:rsid w:val="0012694F"/>
    <w:rPr>
      <w:color w:val="000000"/>
      <w:sz w:val="20"/>
      <w:szCs w:val="20"/>
    </w:rPr>
  </w:style>
  <w:style w:type="paragraph" w:customStyle="1" w:styleId="IntestazioneepidipaginaA">
    <w:name w:val="Intestazione e piè di pagina A"/>
    <w:uiPriority w:val="99"/>
    <w:rsid w:val="0012694F"/>
    <w:pPr>
      <w:tabs>
        <w:tab w:val="right" w:pos="9632"/>
      </w:tabs>
    </w:pPr>
    <w:rPr>
      <w:rFonts w:ascii="Helvetica" w:hAnsi="Helvetica"/>
      <w:color w:val="000000"/>
      <w:sz w:val="20"/>
      <w:szCs w:val="20"/>
      <w:lang w:val="it-IT"/>
    </w:rPr>
  </w:style>
  <w:style w:type="paragraph" w:customStyle="1" w:styleId="ModulovuotoA">
    <w:name w:val="Modulo vuoto A"/>
    <w:uiPriority w:val="99"/>
    <w:rsid w:val="0012694F"/>
    <w:rPr>
      <w:rFonts w:ascii="Helvetica" w:hAnsi="Helvetica"/>
      <w:color w:val="000000"/>
      <w:sz w:val="24"/>
      <w:szCs w:val="20"/>
      <w:lang w:val="it-IT"/>
    </w:rPr>
  </w:style>
  <w:style w:type="character" w:customStyle="1" w:styleId="Hyperlink1">
    <w:name w:val="Hyperlink1"/>
    <w:uiPriority w:val="99"/>
    <w:rsid w:val="0012694F"/>
    <w:rPr>
      <w:color w:val="002BF9"/>
      <w:sz w:val="20"/>
      <w:u w:val="single"/>
    </w:rPr>
  </w:style>
  <w:style w:type="table" w:styleId="TableGrid">
    <w:name w:val="Table Grid"/>
    <w:basedOn w:val="TableNormal"/>
    <w:uiPriority w:val="99"/>
    <w:locked/>
    <w:rsid w:val="0003328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locked/>
    <w:rsid w:val="003459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459DD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3459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459DD"/>
    <w:rPr>
      <w:rFonts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locked/>
    <w:rsid w:val="005610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1010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semiHidden/>
    <w:locked/>
    <w:rsid w:val="00FD6912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locked/>
    <w:rsid w:val="00FD6912"/>
    <w:rPr>
      <w:rFonts w:ascii="Calibri" w:hAnsi="Calibr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FD6912"/>
    <w:rPr>
      <w:rFonts w:ascii="Calibri" w:hAnsi="Calibri" w:cs="Times New Roman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2694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dulovuoto">
    <w:name w:val="Modulo vuoto"/>
    <w:autoRedefine/>
    <w:uiPriority w:val="99"/>
    <w:rsid w:val="0012694F"/>
    <w:rPr>
      <w:color w:val="000000"/>
      <w:sz w:val="20"/>
      <w:szCs w:val="20"/>
    </w:rPr>
  </w:style>
  <w:style w:type="paragraph" w:customStyle="1" w:styleId="IntestazioneepidipaginaA">
    <w:name w:val="Intestazione e piè di pagina A"/>
    <w:uiPriority w:val="99"/>
    <w:rsid w:val="0012694F"/>
    <w:pPr>
      <w:tabs>
        <w:tab w:val="right" w:pos="9632"/>
      </w:tabs>
    </w:pPr>
    <w:rPr>
      <w:rFonts w:ascii="Helvetica" w:hAnsi="Helvetica"/>
      <w:color w:val="000000"/>
      <w:sz w:val="20"/>
      <w:szCs w:val="20"/>
      <w:lang w:val="it-IT"/>
    </w:rPr>
  </w:style>
  <w:style w:type="paragraph" w:customStyle="1" w:styleId="ModulovuotoA">
    <w:name w:val="Modulo vuoto A"/>
    <w:uiPriority w:val="99"/>
    <w:rsid w:val="0012694F"/>
    <w:rPr>
      <w:rFonts w:ascii="Helvetica" w:hAnsi="Helvetica"/>
      <w:color w:val="000000"/>
      <w:sz w:val="24"/>
      <w:szCs w:val="20"/>
      <w:lang w:val="it-IT"/>
    </w:rPr>
  </w:style>
  <w:style w:type="character" w:customStyle="1" w:styleId="Hyperlink1">
    <w:name w:val="Hyperlink1"/>
    <w:uiPriority w:val="99"/>
    <w:rsid w:val="0012694F"/>
    <w:rPr>
      <w:color w:val="002BF9"/>
      <w:sz w:val="20"/>
      <w:u w:val="single"/>
    </w:rPr>
  </w:style>
  <w:style w:type="table" w:styleId="TableGrid">
    <w:name w:val="Table Grid"/>
    <w:basedOn w:val="TableNormal"/>
    <w:uiPriority w:val="99"/>
    <w:locked/>
    <w:rsid w:val="0003328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locked/>
    <w:rsid w:val="003459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459DD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3459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459DD"/>
    <w:rPr>
      <w:rFonts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locked/>
    <w:rsid w:val="005610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1010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semiHidden/>
    <w:locked/>
    <w:rsid w:val="00FD6912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locked/>
    <w:rsid w:val="00FD6912"/>
    <w:rPr>
      <w:rFonts w:ascii="Calibri" w:hAnsi="Calibr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FD6912"/>
    <w:rPr>
      <w:rFonts w:ascii="Calibri" w:hAnsi="Calibri" w:cs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99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6F212FB5.dotm</Template>
  <TotalTime>1</TotalTime>
  <Pages>1</Pages>
  <Words>170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Carbon Markets &amp; Investors Association (CMIA),</vt:lpstr>
    </vt:vector>
  </TitlesOfParts>
  <Company>London School of Economics and Political Science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Carbon Markets &amp; Investors Association (CMIA),</dc:title>
  <dc:creator>Fankhauser</dc:creator>
  <cp:lastModifiedBy>Administrator</cp:lastModifiedBy>
  <cp:revision>3</cp:revision>
  <cp:lastPrinted>2012-04-12T12:12:00Z</cp:lastPrinted>
  <dcterms:created xsi:type="dcterms:W3CDTF">2012-04-24T10:33:00Z</dcterms:created>
  <dcterms:modified xsi:type="dcterms:W3CDTF">2012-04-24T10:33:00Z</dcterms:modified>
</cp:coreProperties>
</file>