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3.15.</w:t>
      </w:r>
    </w:p>
    <w:p>
      <w:pPr>
        <w:pBdr>
          <w:top w:val="single" w:color="999999" w:sz="4"/>
          <w:bottom w:val="single" w:color="999999" w:sz="4"/>
          <w:left w:val="single" w:color="999999" w:sz="4"/>
          <w:right w:val="single" w:color="999999" w:sz="4"/>
        </w:pBdr>
        <w:spacing w:after="200" w:before="200"/>
        <w:jc w:val="center"/>
      </w:pPr>
      <w:r>
        <w:t>[ Sisipkan Gambar 3.15 — Entity Relationship Diagram (GAMBAR_3_13_ERD) ]</w:t>
      </w:r>
    </w:p>
    <w:p>
      <w:pPr>
        <w:spacing w:after="300" w:before="100"/>
        <w:jc w:val="center"/>
      </w:pPr>
      <w:r>
        <w:t>Gambar 3.15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