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Agritech &amp; Consumer Sector – India 2025</w:t>
      </w:r>
    </w:p>
    <w:p>
      <w:r>
        <w:t>This report provides an overview of the Agritech and Consumer sectors in India. The focus is on market growth, key players, and recent funding trends.</w:t>
      </w:r>
    </w:p>
    <w:p>
      <w:pPr>
        <w:pStyle w:val="Heading1"/>
      </w:pPr>
      <w:r>
        <w:t>Market Overview</w:t>
      </w:r>
    </w:p>
    <w:p>
      <w:r>
        <w:t>The Indian Agritech sector is expected to grow at a CAGR of 18% from 2023 to 2030. Key drivers include digital adoption, supply chain efficiency, and increased rural internet penetration.</w:t>
      </w:r>
    </w:p>
    <w:p>
      <w:pPr>
        <w:pStyle w:val="Heading1"/>
      </w:pPr>
      <w:r>
        <w:t>Key Players</w:t>
      </w:r>
    </w:p>
    <w:p>
      <w:r>
        <w:t>Prominent companies include:</w:t>
      </w:r>
    </w:p>
    <w:p>
      <w:r>
        <w:t>• DeHaat – End-to-end agricultural services provider</w:t>
      </w:r>
    </w:p>
    <w:p>
      <w:r>
        <w:t>• Ninjacart – B2B fresh produce supply chain platform</w:t>
      </w:r>
    </w:p>
    <w:p>
      <w:r>
        <w:t>• WayCool Foods – Farm-to-fork supply chain</w:t>
      </w:r>
    </w:p>
    <w:p>
      <w:r>
        <w:t>• Bijak – Agritech trading platform</w:t>
      </w:r>
    </w:p>
    <w:p>
      <w:pPr>
        <w:pStyle w:val="Heading1"/>
      </w:pPr>
      <w:r>
        <w:t>Funding Trends</w:t>
      </w:r>
    </w:p>
    <w:p>
      <w:r>
        <w:t>Total funding in the Indian Agritech space crossed $2 billion by 2024, with active participation from Sequoia, Tiger Global, and Accel Partners.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