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sz w:val="40"/>
          <w:szCs w:val="40"/>
        </w:rPr>
      </w:pPr>
      <w:r>
        <w:rPr>
          <w:sz w:val="40"/>
          <w:szCs w:val="40"/>
          <w:rtl w:val="0"/>
          <w:lang w:val="en-US"/>
        </w:rPr>
        <w:t>Workforce Segmentation: Unsupervised</w:t>
      </w:r>
      <w:r>
        <w:rPr>
          <w:sz w:val="40"/>
          <w:szCs w:val="40"/>
          <w:rtl w:val="0"/>
          <w:lang w:val="en-US"/>
        </w:rPr>
        <w:t xml:space="preserve"> </w:t>
      </w:r>
      <w:r>
        <w:rPr>
          <w:sz w:val="40"/>
          <w:szCs w:val="40"/>
          <w:rtl w:val="0"/>
          <w:lang w:val="en-US"/>
        </w:rPr>
        <w:t>Clustering Analysis</w:t>
      </w:r>
    </w:p>
    <w:p>
      <w:pPr>
        <w:pStyle w:val="Title"/>
        <w:rPr>
          <w:sz w:val="40"/>
          <w:szCs w:val="40"/>
        </w:rPr>
      </w:pPr>
    </w:p>
    <w:p>
      <w:pPr>
        <w:pStyle w:val="Heading"/>
        <w:numPr>
          <w:ilvl w:val="0"/>
          <w:numId w:val="2"/>
        </w:numPr>
        <w:rPr>
          <w:rFonts w:ascii="Times New Roman" w:hAnsi="Times New Roman"/>
          <w:sz w:val="32"/>
          <w:szCs w:val="32"/>
          <w:lang w:val="en-US"/>
        </w:rPr>
      </w:pPr>
      <w:r>
        <w:rPr>
          <w:rFonts w:ascii="Times New Roman" w:hAnsi="Times New Roman"/>
          <w:sz w:val="32"/>
          <w:szCs w:val="32"/>
          <w:rtl w:val="0"/>
          <w:lang w:val="en-US"/>
        </w:rPr>
        <w:t>Introduction &amp; Preprocessing</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This report applies Unsupervised Learning (K-Means Clustering) to the HR Analytics dataset to uncover hidden workforce segments. To prevent features with large magnitudes (e.g., MonthlyIncome) from dominating the distance calculations, the numerical features were standardized using Scikit-Learn's StandardScaler, ensuring a mean of 0 and a variance of 1. Because K-Means relies on Euclidean distance to group data points, this scaling step is critical to ensure that all variables</w:t>
      </w:r>
      <w:r>
        <w:rPr>
          <w:rFonts w:ascii="Times New Roman" w:hAnsi="Times New Roman" w:hint="default"/>
          <w:sz w:val="24"/>
          <w:szCs w:val="24"/>
          <w:rtl w:val="0"/>
          <w:lang w:val="en-US"/>
        </w:rPr>
        <w:t>—</w:t>
      </w:r>
      <w:r>
        <w:rPr>
          <w:rFonts w:ascii="Times New Roman" w:hAnsi="Times New Roman"/>
          <w:sz w:val="24"/>
          <w:szCs w:val="24"/>
          <w:rtl w:val="0"/>
          <w:lang w:val="en-US"/>
        </w:rPr>
        <w:t>from a person's age to their monthly salary</w:t>
      </w:r>
      <w:r>
        <w:rPr>
          <w:rFonts w:ascii="Times New Roman" w:hAnsi="Times New Roman" w:hint="default"/>
          <w:sz w:val="24"/>
          <w:szCs w:val="24"/>
          <w:rtl w:val="0"/>
          <w:lang w:val="en-US"/>
        </w:rPr>
        <w:t>—</w:t>
      </w:r>
      <w:r>
        <w:rPr>
          <w:rFonts w:ascii="Times New Roman" w:hAnsi="Times New Roman"/>
          <w:sz w:val="24"/>
          <w:szCs w:val="24"/>
          <w:rtl w:val="0"/>
          <w:lang w:val="en-US"/>
        </w:rPr>
        <w:t>are weighted equally.</w:t>
      </w:r>
    </w:p>
    <w:p>
      <w:pPr>
        <w:pStyle w:val="Body"/>
        <w:rPr>
          <w:rFonts w:ascii="Times New Roman" w:cs="Times New Roman" w:hAnsi="Times New Roman" w:eastAsia="Times New Roman"/>
          <w:sz w:val="24"/>
          <w:szCs w:val="24"/>
        </w:rPr>
      </w:pPr>
    </w:p>
    <w:p>
      <w:pPr>
        <w:pStyle w:val="Heading"/>
        <w:rPr>
          <w:rFonts w:ascii="Times New Roman" w:cs="Times New Roman" w:hAnsi="Times New Roman" w:eastAsia="Times New Roman"/>
          <w:sz w:val="32"/>
          <w:szCs w:val="32"/>
        </w:rPr>
      </w:pPr>
      <w:r>
        <w:rPr>
          <w:rFonts w:ascii="Times New Roman" w:hAnsi="Times New Roman"/>
          <w:sz w:val="32"/>
          <w:szCs w:val="32"/>
          <w:rtl w:val="0"/>
          <w:lang w:val="en-US"/>
        </w:rPr>
        <w:t>2. Determining Optimal Clusters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cs="Times Roman" w:hAnsi="Times Roman" w:eastAsia="Times Roman"/>
          <w:rtl w:val="0"/>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178295</wp:posOffset>
            </wp:positionV>
            <wp:extent cx="6120057" cy="4565396"/>
            <wp:effectExtent l="0" t="0" r="0" b="0"/>
            <wp:wrapThrough wrapText="bothSides" distL="152400" distR="152400">
              <wp:wrapPolygon edited="1">
                <wp:start x="0" y="0"/>
                <wp:lineTo x="21621" y="0"/>
                <wp:lineTo x="21621" y="21604"/>
                <wp:lineTo x="0" y="21604"/>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6120057" cy="4565396"/>
                    </a:xfrm>
                    <a:prstGeom prst="rect">
                      <a:avLst/>
                    </a:prstGeom>
                    <a:ln w="12700" cap="flat">
                      <a:noFill/>
                      <a:miter lim="400000"/>
                    </a:ln>
                    <a:effectLst/>
                  </pic:spPr>
                </pic:pic>
              </a:graphicData>
            </a:graphic>
          </wp:anchor>
        </w:drawing>
      </w:r>
    </w:p>
    <w:p>
      <w:pPr>
        <w:pStyle w:val="Default"/>
        <w:bidi w:val="0"/>
        <w:spacing w:before="0" w:after="240" w:line="240" w:lineRule="auto"/>
        <w:ind w:left="0" w:right="0" w:firstLine="0"/>
        <w:jc w:val="left"/>
        <w:rPr>
          <w:rFonts w:ascii="Times Roman" w:cs="Times Roman" w:hAnsi="Times Roman" w:eastAsia="Times Roman"/>
          <w:rtl w:val="0"/>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To determine the optimal number of clusters, the Elbow Method was applied by plotting the Within-Cluster Sum of Squares (WCSS) against the number of clusters (k). The 'elbow' or inflection point</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occurs at </w:t>
      </w:r>
      <w:r>
        <w:rPr>
          <w:rFonts w:ascii="Times New Roman" w:hAnsi="Times New Roman"/>
          <w:b w:val="1"/>
          <w:bCs w:val="1"/>
          <w:sz w:val="24"/>
          <w:szCs w:val="24"/>
          <w:rtl w:val="0"/>
        </w:rPr>
        <w:t>k=3</w:t>
      </w:r>
      <w:r>
        <w:rPr>
          <w:rFonts w:ascii="Times New Roman" w:hAnsi="Times New Roman"/>
          <w:sz w:val="24"/>
          <w:szCs w:val="24"/>
          <w:rtl w:val="0"/>
          <w:lang w:val="en-US"/>
        </w:rPr>
        <w:t>, indicating that segmenting the workforce into three distinct groups provides the best balance between variance reduction and model simplicity.</w:t>
      </w:r>
    </w:p>
    <w:p>
      <w:pPr>
        <w:pStyle w:val="Default"/>
        <w:bidi w:val="0"/>
        <w:spacing w:before="0" w:line="240" w:lineRule="auto"/>
        <w:ind w:left="0" w:right="0" w:firstLine="0"/>
        <w:jc w:val="left"/>
        <w:rPr>
          <w:rFonts w:ascii="Times Roman" w:cs="Times Roman" w:hAnsi="Times Roman" w:eastAsia="Times Roman"/>
          <w:rtl w:val="0"/>
        </w:rPr>
      </w:pPr>
    </w:p>
    <w:p>
      <w:pPr>
        <w:pStyle w:val="Heading"/>
        <w:rPr>
          <w:rFonts w:ascii="Times New Roman" w:cs="Times New Roman" w:hAnsi="Times New Roman" w:eastAsia="Times New Roman"/>
          <w:sz w:val="32"/>
          <w:szCs w:val="32"/>
        </w:rPr>
      </w:pPr>
      <w:r>
        <w:rPr>
          <w:rFonts w:ascii="Times New Roman" w:hAnsi="Times New Roman"/>
          <w:sz w:val="32"/>
          <w:szCs w:val="32"/>
          <w:rtl w:val="0"/>
          <w:lang w:val="en-US"/>
        </w:rPr>
        <w:t>3. K-Means Application &amp; Cluster Profiling</w:t>
      </w:r>
      <w:r>
        <w:rPr>
          <w:rFonts w:ascii="Times New Roman" w:cs="Times New Roman" w:hAnsi="Times New Roman" w:eastAsia="Times New Roman"/>
          <w:sz w:val="32"/>
          <w:szCs w:val="32"/>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308699</wp:posOffset>
            </wp:positionV>
            <wp:extent cx="6120057" cy="5346518"/>
            <wp:effectExtent l="0" t="0" r="0" b="0"/>
            <wp:wrapThrough wrapText="bothSides" distL="152400" distR="152400">
              <wp:wrapPolygon edited="1">
                <wp:start x="0" y="0"/>
                <wp:lineTo x="21621" y="0"/>
                <wp:lineTo x="21621" y="21610"/>
                <wp:lineTo x="0" y="21610"/>
                <wp:lineTo x="0" y="0"/>
              </wp:wrapPolygon>
            </wp:wrapThrough>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5">
                      <a:extLst/>
                    </a:blip>
                    <a:stretch>
                      <a:fillRect/>
                    </a:stretch>
                  </pic:blipFill>
                  <pic:spPr>
                    <a:xfrm>
                      <a:off x="0" y="0"/>
                      <a:ext cx="6120057" cy="5346518"/>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Applying the K-Means algorithm (k=3) successfully segmented the workforce into three distinct groups. The scatter plot mapping Total Working Years against Monthly Income demonstrates clear physical boundaries between the clusters, driven heavily by compensation and experience. By aggregating the mean features of each cluster, we can define three distinct "Employee Personas</w:t>
      </w:r>
      <w:r>
        <w:rPr>
          <w:rFonts w:ascii="Times New Roman" w:hAnsi="Times New Roman" w:hint="default"/>
          <w:sz w:val="24"/>
          <w:szCs w:val="24"/>
          <w:rtl w:val="0"/>
          <w:lang w:val="en-US"/>
        </w:rPr>
        <w:t>”</w:t>
      </w:r>
      <w:r>
        <w:rPr>
          <w:rFonts w:ascii="Times New Roman" w:hAnsi="Times New Roman"/>
          <w:sz w:val="24"/>
          <w:szCs w:val="24"/>
          <w:rtl w:val="0"/>
        </w:rPr>
        <w:t>:</w:t>
      </w:r>
    </w:p>
    <w:p>
      <w:pPr>
        <w:pStyle w:val="Body"/>
        <w:rPr>
          <w:rFonts w:ascii="Times New Roman" w:cs="Times New Roman" w:hAnsi="Times New Roman" w:eastAsia="Times New Roman"/>
          <w:sz w:val="24"/>
          <w:szCs w:val="24"/>
        </w:rPr>
      </w:pPr>
    </w:p>
    <w:p>
      <w:pPr>
        <w:pStyle w:val="Body"/>
        <w:numPr>
          <w:ilvl w:val="0"/>
          <w:numId w:val="4"/>
        </w:numPr>
        <w:rPr>
          <w:rFonts w:ascii="Times New Roman" w:hAnsi="Times New Roman"/>
          <w:sz w:val="24"/>
          <w:szCs w:val="24"/>
          <w:lang w:val="en-US"/>
        </w:rPr>
      </w:pPr>
      <w:r>
        <w:rPr>
          <w:rFonts w:ascii="Times New Roman" w:hAnsi="Times New Roman"/>
          <w:b w:val="1"/>
          <w:bCs w:val="1"/>
          <w:sz w:val="24"/>
          <w:szCs w:val="24"/>
          <w:rtl w:val="0"/>
          <w:lang w:val="en-US"/>
        </w:rPr>
        <w:t>Cluster A (The Junior Core):</w:t>
      </w:r>
      <w:r>
        <w:rPr>
          <w:rFonts w:ascii="Times New Roman" w:hAnsi="Times New Roman"/>
          <w:sz w:val="24"/>
          <w:szCs w:val="24"/>
          <w:rtl w:val="0"/>
          <w:lang w:val="en-US"/>
        </w:rPr>
        <w:t xml:space="preserve"> This group represents the youngest employees with the lowest average tenure and monthly income. They form the bulk of the entry-level workforce.</w:t>
      </w:r>
    </w:p>
    <w:p>
      <w:pPr>
        <w:pStyle w:val="Body"/>
        <w:numPr>
          <w:ilvl w:val="0"/>
          <w:numId w:val="4"/>
        </w:numPr>
        <w:rPr>
          <w:rFonts w:ascii="Times New Roman" w:hAnsi="Times New Roman"/>
          <w:sz w:val="24"/>
          <w:szCs w:val="24"/>
          <w:lang w:val="en-US"/>
        </w:rPr>
      </w:pPr>
      <w:r>
        <w:rPr>
          <w:rFonts w:ascii="Times New Roman" w:hAnsi="Times New Roman"/>
          <w:b w:val="1"/>
          <w:bCs w:val="1"/>
          <w:sz w:val="24"/>
          <w:szCs w:val="24"/>
          <w:rtl w:val="0"/>
          <w:lang w:val="en-US"/>
        </w:rPr>
        <w:t>Cluster B (The Mid-Level Professionals):</w:t>
      </w:r>
      <w:r>
        <w:rPr>
          <w:rFonts w:ascii="Times New Roman" w:hAnsi="Times New Roman"/>
          <w:sz w:val="24"/>
          <w:szCs w:val="24"/>
          <w:rtl w:val="0"/>
          <w:lang w:val="en-US"/>
        </w:rPr>
        <w:t xml:space="preserve"> This segment consists of employees in their mid-to-late 30s with moderate industry experience and mid-tier compensation.</w:t>
      </w:r>
    </w:p>
    <w:p>
      <w:pPr>
        <w:pStyle w:val="Body"/>
        <w:numPr>
          <w:ilvl w:val="0"/>
          <w:numId w:val="4"/>
        </w:numPr>
        <w:rPr>
          <w:rFonts w:ascii="Times New Roman" w:hAnsi="Times New Roman"/>
          <w:sz w:val="24"/>
          <w:szCs w:val="24"/>
          <w:lang w:val="en-US"/>
        </w:rPr>
      </w:pPr>
      <w:r>
        <w:rPr>
          <w:rFonts w:ascii="Times New Roman" w:hAnsi="Times New Roman"/>
          <w:b w:val="1"/>
          <w:bCs w:val="1"/>
          <w:sz w:val="24"/>
          <w:szCs w:val="24"/>
          <w:rtl w:val="0"/>
          <w:lang w:val="en-US"/>
        </w:rPr>
        <w:t>Cluster C (The Senior Leadership):</w:t>
      </w:r>
      <w:r>
        <w:rPr>
          <w:rFonts w:ascii="Times New Roman" w:hAnsi="Times New Roman"/>
          <w:sz w:val="24"/>
          <w:szCs w:val="24"/>
          <w:rtl w:val="0"/>
          <w:lang w:val="en-US"/>
        </w:rPr>
        <w:t xml:space="preserve"> This is the smallest, most exclusive cluster, representing older employees with extensive working years and the highest monthly incomes (executives and directors).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Interestingly, DistanceFromHome remains relatively uniform across all three clusters, indicating that commute length is distributed randomly across junior and senior staff alike and does not define these personas</w:t>
      </w:r>
    </w:p>
    <w:p>
      <w:pPr>
        <w:pStyle w:val="Default"/>
        <w:bidi w:val="0"/>
        <w:spacing w:before="0" w:after="240" w:line="240" w:lineRule="auto"/>
        <w:ind w:left="0" w:right="0" w:firstLine="0"/>
        <w:jc w:val="left"/>
        <w:rPr>
          <w:rFonts w:ascii="Times Roman" w:cs="Times Roman" w:hAnsi="Times Roman" w:eastAsia="Times Roman"/>
          <w:rtl w:val="0"/>
        </w:rPr>
      </w:pPr>
    </w:p>
    <w:p>
      <w:pPr>
        <w:pStyle w:val="Heading"/>
        <w:rPr>
          <w:rFonts w:ascii="Times New Roman" w:cs="Times New Roman" w:hAnsi="Times New Roman" w:eastAsia="Times New Roman"/>
          <w:sz w:val="32"/>
          <w:szCs w:val="32"/>
        </w:rPr>
      </w:pPr>
      <w:r>
        <w:rPr>
          <w:rFonts w:ascii="Times New Roman" w:hAnsi="Times New Roman"/>
          <w:sz w:val="32"/>
          <w:szCs w:val="32"/>
          <w:rtl w:val="0"/>
          <w:lang w:val="en-US"/>
        </w:rPr>
        <w:t>4. Business Implications &amp; Conclusion</w:t>
      </w:r>
    </w:p>
    <w:p>
      <w:pPr>
        <w:pStyle w:val="Body"/>
        <w:bidi w:val="0"/>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application of unsupervised machine learning to this HR dataset demonstrates that the workforce naturally segments into three distinct tiers based primarily on experience and compensation. Because K-Means operates without labeled target variables, these clusters represent the true, underlying structure of the employee base rather than arbitrary HR pay-bands. This allows leadership to shift from a "one-size-fits-all" HR policy to targeted, persona-based retention strategies:</w:t>
      </w:r>
    </w:p>
    <w:p>
      <w:pPr>
        <w:pStyle w:val="Default"/>
        <w:numPr>
          <w:ilvl w:val="0"/>
          <w:numId w:val="5"/>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Targeting Cluster A (Junior Core):</w:t>
      </w:r>
      <w:r>
        <w:rPr>
          <w:rFonts w:ascii="Times New Roman" w:hAnsi="Times New Roman"/>
          <w:rtl w:val="0"/>
          <w:lang w:val="en-US"/>
        </w:rPr>
        <w:t xml:space="preserve"> As early-career employees, this segment is highly susceptible to churn for marginal salary increases at competing firms. HR should implement structured career progression maps, aggressive skill-building workshops, and frequent performance reviews to accelerate their path to the mid-level tier.</w:t>
      </w:r>
    </w:p>
    <w:p>
      <w:pPr>
        <w:pStyle w:val="Default"/>
        <w:numPr>
          <w:ilvl w:val="0"/>
          <w:numId w:val="5"/>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Targeting Cluster B (Mid-Level Professionals):</w:t>
      </w:r>
      <w:r>
        <w:rPr>
          <w:rFonts w:ascii="Times New Roman" w:hAnsi="Times New Roman"/>
          <w:rtl w:val="0"/>
          <w:lang w:val="en-US"/>
        </w:rPr>
        <w:t xml:space="preserve"> This cohort represents the operational backbone of the company. Retention risks here often stem from role stagnation or burnout. Business interventions should focus on leadership development programs, flexible work arrangements, and stock options to build long-term corporate loyalty.</w:t>
      </w:r>
    </w:p>
    <w:p>
      <w:pPr>
        <w:pStyle w:val="Default"/>
        <w:numPr>
          <w:ilvl w:val="0"/>
          <w:numId w:val="5"/>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Targeting Cluster C (Senior Leadership):</w:t>
      </w:r>
      <w:r>
        <w:rPr>
          <w:rFonts w:ascii="Times New Roman" w:hAnsi="Times New Roman"/>
          <w:rtl w:val="0"/>
          <w:lang w:val="en-US"/>
        </w:rPr>
        <w:t xml:space="preserve"> Comprising highly compensated veterans, this group requires customized executive retention packages. Furthermore, HR should leverage this segment to implement formal mentorship programs, pairing them with high-potential employees in Cluster A to facilitate knowledge transfer and succession planning.</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By leveraging K-Means clustering, we successfully transformed raw demographic and compensation metrics into actionable strategic segments. This methodology empowers the organization to allocate HR budgets more efficiently and proactively address the unique retention needs of different employee personas.</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tl w:val="0"/>
        </w:rPr>
      </w:pPr>
      <w:r>
        <w:rPr>
          <w:rFonts w:ascii="Arial Unicode MS" w:cs="Arial Unicode MS" w:hAnsi="Arial Unicode MS" w:eastAsia="Arial Unicode MS"/>
          <w:b w:val="0"/>
          <w:bCs w:val="0"/>
          <w:i w:val="0"/>
          <w:iCs w:val="0"/>
          <w:rtl w:val="0"/>
        </w:rPr>
        <w:br w:type="page"/>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52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8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4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60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6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32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8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04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40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6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